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1909"/>
        <w:jc w:val="center"/>
        <w:tblLayout w:type="fixed"/>
        <w:tblLook w:firstColumn="1" w:firstRow="1" w:lastColumn="0" w:lastRow="0" w:noHBand="0" w:noVBand="1" w:val="04A0"/>
      </w:tblPr>
      <w:tblGrid>
        <w:gridCol w:w="9638"/>
      </w:tblGrid>
      <w:tr>
        <w:trPr>
          <w:trHeight w:val="16809" w:hRule="exact"/>
        </w:trPr>
        <w:tc>
          <w:tcPr>
            <w:tcW w:type="dxa" w:w="11909"/>
            <w:vAlign w:val="top"/>
            <w:shd w:fill="0A2342"/>
            <w:tcMar>
              <w:top w:w="690" w:type="dxa"/>
              <w:start w:w="760" w:type="dxa"/>
              <w:bottom w:w="530" w:type="dxa"/>
              <w:end w:w="760" w:type="dxa"/>
            </w:tcMar>
            <w:tcBorders>
              <w:top w:val="single" w:sz="150" w:color="00B4A6" w:space="0"/>
              <w:left w:val="nil"/>
              <w:bottom w:val="nil"/>
              <w:right w:val="nil"/>
            </w:tcBorders>
          </w:tcPr>
          <w:p>
            <w:pPr>
              <w:spacing w:after="0"/>
            </w:pPr>
            <w:r>
              <w:rPr>
                <w:rFonts w:ascii="Arial" w:hAnsi="Arial" w:eastAsia="Arial" w:cs="Arial"/>
                <w:b w:val="0"/>
                <w:i w:val="0"/>
                <w:color w:val="0A2342"/>
                <w:sz w:val="2"/>
              </w:rPr>
            </w:r>
          </w:p>
          <w:tbl>
            <w:tblPr>
              <w:tblW w:type="dxa" w:w="10382"/>
              <w:jc w:val="center"/>
              <w:tblLayout w:type="fixed"/>
              <w:tblLook w:firstColumn="1" w:firstRow="1" w:lastColumn="0" w:lastRow="0" w:noHBand="0" w:noVBand="1" w:val="04A0"/>
            </w:tblPr>
            <w:tblGrid>
              <w:gridCol w:w="1181"/>
              <w:gridCol w:w="9202"/>
            </w:tblGrid>
            <w:tr>
              <w:tc>
                <w:tcPr>
                  <w:tcW w:type="dxa" w:w="1181"/>
                  <w:shd w:fill="0A2342"/>
                  <w:tcMar>
                    <w:top w:w="0" w:type="dxa"/>
                    <w:start w:w="0" w:type="dxa"/>
                    <w:bottom w:w="0" w:type="dxa"/>
                    <w:end w:w="0" w:type="dxa"/>
                  </w:tcMar>
                  <w:tcBorders>
                    <w:top w:val="nil"/>
                    <w:left w:val="nil"/>
                    <w:bottom w:val="nil"/>
                    <w:right w:val="nil"/>
                  </w:tcBorders>
                  <w:vAlign w:val="center"/>
                </w:tcPr>
                <w:p>
                  <w:pPr>
                    <w:spacing w:after="0"/>
                  </w:pPr>
                  <w:r>
                    <w:drawing>
                      <wp:inline xmlns:a="http://schemas.openxmlformats.org/drawingml/2006/main" xmlns:pic="http://schemas.openxmlformats.org/drawingml/2006/picture">
                        <wp:extent cx="612648" cy="612648"/>
                        <wp:docPr id="2" name="Picture 2" descr="MedDev Advisory shield logo"/>
                        <wp:cNvGraphicFramePr>
                          <a:graphicFrameLocks noChangeAspect="1"/>
                        </wp:cNvGraphicFramePr>
                        <a:graphic>
                          <a:graphicData uri="http://schemas.openxmlformats.org/drawingml/2006/picture">
                            <pic:pic>
                              <pic:nvPicPr>
                                <pic:cNvPr id="0" name="logo-mark.png"/>
                                <pic:cNvPicPr/>
                              </pic:nvPicPr>
                              <pic:blipFill>
                                <a:blip r:embed="rId19"/>
                                <a:stretch>
                                  <a:fillRect/>
                                </a:stretch>
                              </pic:blipFill>
                              <pic:spPr>
                                <a:xfrm>
                                  <a:off x="0" y="0"/>
                                  <a:ext cx="612648" cy="612648"/>
                                </a:xfrm>
                                <a:prstGeom prst="rect"/>
                              </pic:spPr>
                            </pic:pic>
                          </a:graphicData>
                        </a:graphic>
                      </wp:inline>
                    </w:drawing>
                  </w:r>
                </w:p>
              </w:tc>
              <w:tc>
                <w:tcPr>
                  <w:tcW w:type="dxa" w:w="9202"/>
                  <w:shd w:fill="0A2342"/>
                  <w:tcMar>
                    <w:top w:w="0" w:type="dxa"/>
                    <w:start w:w="0" w:type="dxa"/>
                    <w:bottom w:w="0" w:type="dxa"/>
                    <w:end w:w="0" w:type="dxa"/>
                  </w:tcMar>
                  <w:tcBorders>
                    <w:top w:val="nil"/>
                    <w:left w:val="nil"/>
                    <w:bottom w:val="nil"/>
                    <w:right w:val="nil"/>
                  </w:tcBorders>
                </w:tcPr>
                <w:p>
                  <w:pPr>
                    <w:spacing w:after="20"/>
                  </w:pPr>
                  <w:r>
                    <w:rPr>
                      <w:rFonts w:ascii="Arial" w:hAnsi="Arial" w:eastAsia="Arial" w:cs="Arial"/>
                      <w:b/>
                      <w:i w:val="0"/>
                      <w:color w:val="FFFFFF"/>
                      <w:sz w:val="23"/>
                    </w:rPr>
                    <w:t>MEDDEV ADVISORY</w:t>
                  </w:r>
                </w:p>
                <w:p>
                  <w:pPr>
                    <w:spacing w:after="0"/>
                  </w:pPr>
                  <w:r>
                    <w:rPr>
                      <w:rFonts w:ascii="Arial" w:hAnsi="Arial" w:eastAsia="Arial" w:cs="Arial"/>
                      <w:b w:val="0"/>
                      <w:i w:val="0"/>
                      <w:color w:val="C6D5E4"/>
                      <w:sz w:val="15"/>
                    </w:rPr>
                    <w:t>Regulatory and biocompatibility consulting</w:t>
                  </w:r>
                </w:p>
              </w:tc>
            </w:tr>
          </w:tbl>
          <w:p/>
          <w:p>
            <w:pPr>
              <w:spacing w:before="760" w:after="140"/>
              <w:pBdr>
                <w:bottom w:val="single" w:sz="5" w:color="D4A62A" w:space="7"/>
              </w:pBdr>
            </w:pPr>
            <w:r>
              <w:rPr>
                <w:rFonts w:ascii="Arial" w:hAnsi="Arial" w:eastAsia="Arial" w:cs="Arial"/>
                <w:b/>
                <w:i w:val="0"/>
                <w:color w:val="00B4A6"/>
                <w:sz w:val="17"/>
              </w:rPr>
              <w:t>MEDDEV ADVISORY  ·  PRACTITIONER RESOURCE</w:t>
            </w:r>
          </w:p>
          <w:p>
            <w:pPr>
              <w:pStyle w:val="Title"/>
              <w:spacing w:before="260" w:after="240"/>
            </w:pPr>
            <w:r>
              <w:rPr>
                <w:rFonts w:ascii="Georgia" w:hAnsi="Georgia" w:eastAsia="Georgia" w:cs="Georgia"/>
                <w:b/>
                <w:i w:val="0"/>
                <w:color w:val="FFFFFF"/>
                <w:sz w:val="56"/>
              </w:rPr>
              <w:t>Medical Wipe Biological</w:t>
              <w:br/>
              <w:t>Evaluation Plan Template</w:t>
            </w:r>
          </w:p>
          <w:p>
            <w:pPr>
              <w:spacing w:after="360" w:line="298" w:lineRule="auto"/>
            </w:pPr>
            <w:r>
              <w:rPr>
                <w:rFonts w:ascii="Arial" w:hAnsi="Arial" w:eastAsia="Arial" w:cs="Arial"/>
                <w:b w:val="0"/>
                <w:i w:val="0"/>
                <w:color w:val="C6D5E4"/>
                <w:sz w:val="23"/>
              </w:rPr>
              <w:t>An editable working framework for a device-specific biological evaluation plan</w:t>
            </w:r>
          </w:p>
          <w:p>
            <w:pPr>
              <w:spacing w:before="40" w:after="160"/>
            </w:pPr>
            <w:r>
              <w:drawing>
                <wp:inline xmlns:a="http://schemas.openxmlformats.org/drawingml/2006/main" xmlns:pic="http://schemas.openxmlformats.org/drawingml/2006/picture">
                  <wp:extent cx="6400800" cy="2057400"/>
                  <wp:docPr id="3" name="Picture 3" descr="Pathway from a medical wipe and exposure assessment to evidence and an evaluation plan"/>
                  <wp:cNvGraphicFramePr>
                    <a:graphicFrameLocks noChangeAspect="1"/>
                  </wp:cNvGraphicFramePr>
                  <a:graphic>
                    <a:graphicData uri="http://schemas.openxmlformats.org/drawingml/2006/picture">
                      <pic:pic>
                        <pic:nvPicPr>
                          <pic:cNvPr id="0" name="medical-wipe-evidence-pathway.png"/>
                          <pic:cNvPicPr/>
                        </pic:nvPicPr>
                        <pic:blipFill>
                          <a:blip r:embed="rId18"/>
                          <a:stretch>
                            <a:fillRect/>
                          </a:stretch>
                        </pic:blipFill>
                        <pic:spPr>
                          <a:xfrm>
                            <a:off x="0" y="0"/>
                            <a:ext cx="6400800" cy="2057400"/>
                          </a:xfrm>
                          <a:prstGeom prst="rect"/>
                        </pic:spPr>
                      </pic:pic>
                    </a:graphicData>
                  </a:graphic>
                </wp:inline>
              </w:drawing>
            </w:r>
          </w:p>
          <w:p>
            <w:pPr>
              <w:spacing w:before="100" w:after="40"/>
            </w:pPr>
            <w:r>
              <w:rPr>
                <w:rFonts w:ascii="Arial" w:hAnsi="Arial" w:eastAsia="Arial" w:cs="Arial"/>
                <w:b/>
                <w:i w:val="0"/>
                <w:color w:val="00B4A6"/>
                <w:sz w:val="17"/>
              </w:rPr>
              <w:t>11 planning sections  ·  9 decision and evidence tables  ·  6 public source links</w:t>
            </w:r>
          </w:p>
          <w:p>
            <w:pPr>
              <w:spacing w:before="360" w:after="20"/>
            </w:pPr>
            <w:r>
              <w:rPr>
                <w:rFonts w:ascii="Arial" w:hAnsi="Arial" w:eastAsia="Arial" w:cs="Arial"/>
                <w:b/>
                <w:i w:val="0"/>
                <w:color w:val="FFFFFF"/>
                <w:sz w:val="18"/>
              </w:rPr>
              <w:t>Arvind Rathore</w:t>
            </w:r>
          </w:p>
          <w:p>
            <w:pPr>
              <w:spacing w:after="0"/>
            </w:pPr>
            <w:r>
              <w:rPr>
                <w:rFonts w:ascii="Arial" w:hAnsi="Arial" w:eastAsia="Arial" w:cs="Arial"/>
                <w:b w:val="0"/>
                <w:i w:val="0"/>
                <w:color w:val="C6D5E4"/>
                <w:sz w:val="15"/>
              </w:rPr>
              <w:t>ISO 10993 Biocompatibility Consultant  ·  Founder, MedDev Advisory</w:t>
            </w:r>
          </w:p>
          <w:p>
            <w:pPr>
              <w:tabs>
                <w:tab w:pos="10152" w:val="right"/>
              </w:tabs>
              <w:spacing w:before="580" w:after="0"/>
            </w:pPr>
            <w:r>
              <w:rPr>
                <w:rFonts w:ascii="Arial" w:hAnsi="Arial" w:eastAsia="Arial" w:cs="Arial"/>
                <w:b w:val="0"/>
                <w:i w:val="0"/>
                <w:color w:val="C6D5E4"/>
                <w:sz w:val="14"/>
              </w:rPr>
              <w:t>EDITABLE WORD TEMPLATE  ·  VERSION 1.0  ·  9 SEPTEMBER 2026</w:t>
            </w:r>
            <w:r>
              <w:rPr>
                <w:rFonts w:ascii="Arial" w:hAnsi="Arial" w:eastAsia="Arial" w:cs="Arial"/>
                <w:b w:val="0"/>
                <w:i w:val="0"/>
                <w:color w:val="C6D5E4"/>
                <w:sz w:val="14"/>
              </w:rPr>
              <w:tab/>
              <w:t>meddevadvisory.com</w:t>
            </w:r>
          </w:p>
        </w:tc>
      </w:tr>
    </w:tbl>
    <w:p>
      <w:pPr>
        <w:spacing w:after="0"/>
        <w:sectPr w:rsidR="00FC693F" w:rsidRPr="0006063C" w:rsidSect="00034616">
          <w:type w:val="nextPage"/>
          <w:pgSz w:w="11909" w:h="16834"/>
          <w:pgMar w:top="0" w:right="0" w:bottom="0" w:left="0" w:header="0" w:footer="0" w:gutter="0"/>
          <w:cols w:space="720"/>
          <w:docGrid w:linePitch="360"/>
        </w:sectPr>
      </w:pPr>
      <w:r>
        <w:rPr>
          <w:rFonts w:ascii="Arial" w:hAnsi="Arial" w:eastAsia="Arial" w:cs="Arial"/>
          <w:b w:val="0"/>
          <w:i w:val="0"/>
          <w:color w:val="0A2342"/>
          <w:sz w:val="2"/>
        </w:rPr>
      </w:r>
    </w:p>
    <w:p>
      <w:pPr>
        <w:pStyle w:val="Heading1"/>
      </w:pPr>
      <w:r>
        <w:t>How to use this template</w:t>
      </w:r>
    </w:p>
    <w:p>
      <w:pPr>
        <w:pStyle w:val="Lead"/>
      </w:pPr>
      <w:r>
        <w:t>An editable framework for planning and documenting a device-specific biological evaluation</w:t>
      </w:r>
    </w:p>
    <w:p>
      <w:r>
        <w:rPr>
          <w:b w:val="0"/>
        </w:rPr>
        <w:t>Use this template to turn information about your wipe, its exposure pathways and existing evidence into a documented plan. Complete the 11 sections, assign actions and obtain the appropriate scientific and organisational review before implementing the plan.</w:t>
      </w:r>
    </w:p>
    <w:p>
      <w:r>
        <w:rPr>
          <w:b w:val="0"/>
          <w:sz w:val="21"/>
        </w:rPr>
        <w:t>This is an original MedDev Advisory template. It is not the ISO standard, a completed BEP, a Biological Evaluation Report (BER), or a prescribed test package. Whether this framework applies depends on the product’s intended use, regulatory status and target market. [1–3]</w:t>
      </w:r>
    </w:p>
    <w:p>
      <w:pPr>
        <w:pStyle w:val="Heading2"/>
      </w:pPr>
      <w:r>
        <w:t>How to complete your working copy</w:t>
      </w:r>
    </w:p>
    <w:p>
      <w:r>
        <w:rPr>
          <w:b w:val="0"/>
        </w:rPr>
        <w:t>Save a copy under your own document identifier. Replace every bracketed prompt, expand the tables and duplicate records as needed. Record unknown information as an open action with an owner and due date. Use “not applicable” only with a documented reason. Delete instructional text from your approved working copy, while retaining relevant scientific reasoning and source references.</w:t>
      </w:r>
    </w:p>
    <w:p>
      <w:r>
        <w:rPr>
          <w:b w:val="0"/>
          <w:sz w:val="21"/>
        </w:rPr>
        <w:t>Use a controlled copy of the applicable standards and current market requirements. This template does not reproduce their endpoint tables or replace qualified biological safety, toxicology, reprocessing or regulatory judgment. Instructions and blank records are editable Word text; there are no macros or automatic decisions.</w:t>
      </w:r>
    </w:p>
    <w:p>
      <w:pPr>
        <w:pStyle w:val="Heading1"/>
        <w:pageBreakBefore/>
      </w:pPr>
      <w:r>
        <w:t>Plan structure</w:t>
      </w:r>
    </w:p>
    <w:p>
      <w:pPr>
        <w:pStyle w:val="Lead"/>
      </w:pPr>
      <w:r>
        <w:t>Work through the three phases in order. Keep unknowns visible, link every decision to its supporting record and obtain the appropriate review before implementation.</w:t>
      </w:r>
    </w:p>
    <w:tbl>
      <w:tblPr>
        <w:tblW w:type="dxa" w:w="9634"/>
        <w:jc w:val="center"/>
        <w:tblLayout w:type="fixed"/>
        <w:tblLook w:firstColumn="1" w:firstRow="1" w:lastColumn="0" w:lastRow="0" w:noHBand="0" w:noVBand="1" w:val="04A0"/>
      </w:tblPr>
      <w:tblGrid>
        <w:gridCol w:w="2520"/>
        <w:gridCol w:w="7114"/>
      </w:tblGrid>
      <w:tr>
        <w:trPr>
          <w:cantSplit/>
        </w:trPr>
        <w:tc>
          <w:tcPr>
            <w:tcW w:type="dxa" w:w="2520"/>
            <w:shd w:fill="0A2342"/>
            <w:tcMar>
              <w:top w:w="145" w:type="dxa"/>
              <w:start w:w="145" w:type="dxa"/>
              <w:bottom w:w="145" w:type="dxa"/>
              <w:end w:w="145" w:type="dxa"/>
            </w:tcMar>
            <w:tcBorders>
              <w:top w:val="single" w:sz="5" w:color="D9DEE5" w:space="0"/>
              <w:left w:val="single" w:sz="5" w:color="D9DEE5" w:space="0"/>
              <w:bottom w:val="single" w:sz="5" w:color="D9DEE5" w:space="0"/>
              <w:right w:val="single" w:sz="5" w:color="D9DEE5" w:space="0"/>
            </w:tcBorders>
          </w:tcPr>
          <w:p>
            <w:pPr>
              <w:spacing w:after="40"/>
            </w:pPr>
            <w:r>
              <w:rPr>
                <w:rFonts w:ascii="Arial" w:hAnsi="Arial" w:eastAsia="Arial" w:cs="Arial"/>
                <w:b/>
                <w:i w:val="0"/>
                <w:color w:val="00B4A6"/>
                <w:sz w:val="16"/>
              </w:rPr>
              <w:t>PHASE 01</w:t>
            </w:r>
          </w:p>
          <w:p>
            <w:pPr>
              <w:spacing w:after="0"/>
            </w:pPr>
            <w:r>
              <w:rPr>
                <w:rFonts w:ascii="Arial" w:hAnsi="Arial" w:eastAsia="Arial" w:cs="Arial"/>
                <w:b/>
                <w:i w:val="0"/>
                <w:color w:val="FFFFFF"/>
                <w:sz w:val="20"/>
              </w:rPr>
              <w:t>Define the system</w:t>
            </w:r>
          </w:p>
        </w:tc>
        <w:tc>
          <w:tcPr>
            <w:tcW w:type="dxa" w:w="7114"/>
            <w:shd w:fill="EDF2FB"/>
            <w:tcMar>
              <w:top w:w="130" w:type="dxa"/>
              <w:start w:w="160" w:type="dxa"/>
              <w:bottom w:w="130" w:type="dxa"/>
              <w:end w:w="160" w:type="dxa"/>
            </w:tcMar>
            <w:tcBorders>
              <w:top w:val="single" w:sz="5" w:color="D9DEE5" w:space="0"/>
              <w:left w:val="single" w:sz="5" w:color="D9DEE5" w:space="0"/>
              <w:bottom w:val="single" w:sz="5" w:color="D9DEE5" w:space="0"/>
              <w:right w:val="single" w:sz="5" w:color="D9DEE5" w:space="0"/>
            </w:tcBorders>
          </w:tcPr>
          <w:p>
            <w:pPr>
              <w:spacing w:after="0" w:line="264" w:lineRule="auto"/>
            </w:pPr>
            <w:r>
              <w:rPr>
                <w:rFonts w:ascii="Arial" w:hAnsi="Arial" w:eastAsia="Arial" w:cs="Arial"/>
                <w:b w:val="0"/>
                <w:i w:val="0"/>
                <w:color w:val="1E2A36"/>
                <w:sz w:val="18"/>
              </w:rPr>
              <w:t>Sections 1–4  ·  Scope, product, finished wipe, contact and exposure</w:t>
            </w:r>
          </w:p>
        </w:tc>
      </w:tr>
      <w:tr>
        <w:trPr>
          <w:cantSplit/>
        </w:trPr>
        <w:tc>
          <w:tcPr>
            <w:tcW w:type="dxa" w:w="2520"/>
            <w:shd w:fill="112F52"/>
            <w:tcMar>
              <w:top w:w="145" w:type="dxa"/>
              <w:start w:w="145" w:type="dxa"/>
              <w:bottom w:w="145" w:type="dxa"/>
              <w:end w:w="145" w:type="dxa"/>
            </w:tcMar>
            <w:tcBorders>
              <w:top w:val="single" w:sz="5" w:color="D9DEE5" w:space="0"/>
              <w:left w:val="single" w:sz="5" w:color="D9DEE5" w:space="0"/>
              <w:bottom w:val="single" w:sz="5" w:color="D9DEE5" w:space="0"/>
              <w:right w:val="single" w:sz="5" w:color="D9DEE5" w:space="0"/>
            </w:tcBorders>
          </w:tcPr>
          <w:p>
            <w:pPr>
              <w:spacing w:after="40"/>
            </w:pPr>
            <w:r>
              <w:rPr>
                <w:rFonts w:ascii="Arial" w:hAnsi="Arial" w:eastAsia="Arial" w:cs="Arial"/>
                <w:b/>
                <w:i w:val="0"/>
                <w:color w:val="00B4A6"/>
                <w:sz w:val="16"/>
              </w:rPr>
              <w:t>PHASE 02</w:t>
            </w:r>
          </w:p>
          <w:p>
            <w:pPr>
              <w:spacing w:after="0"/>
            </w:pPr>
            <w:r>
              <w:rPr>
                <w:rFonts w:ascii="Arial" w:hAnsi="Arial" w:eastAsia="Arial" w:cs="Arial"/>
                <w:b/>
                <w:i w:val="0"/>
                <w:color w:val="FFFFFF"/>
                <w:sz w:val="20"/>
              </w:rPr>
              <w:t>Plan the evidence</w:t>
            </w:r>
          </w:p>
        </w:tc>
        <w:tc>
          <w:tcPr>
            <w:tcW w:type="dxa" w:w="7114"/>
            <w:shd w:fill="E9F7F5"/>
            <w:tcMar>
              <w:top w:w="130" w:type="dxa"/>
              <w:start w:w="160" w:type="dxa"/>
              <w:bottom w:w="130" w:type="dxa"/>
              <w:end w:w="160" w:type="dxa"/>
            </w:tcMar>
            <w:tcBorders>
              <w:top w:val="single" w:sz="5" w:color="D9DEE5" w:space="0"/>
              <w:left w:val="single" w:sz="5" w:color="D9DEE5" w:space="0"/>
              <w:bottom w:val="single" w:sz="5" w:color="D9DEE5" w:space="0"/>
              <w:right w:val="single" w:sz="5" w:color="D9DEE5" w:space="0"/>
            </w:tcBorders>
          </w:tcPr>
          <w:p>
            <w:pPr>
              <w:spacing w:after="0" w:line="264" w:lineRule="auto"/>
            </w:pPr>
            <w:r>
              <w:rPr>
                <w:rFonts w:ascii="Arial" w:hAnsi="Arial" w:eastAsia="Arial" w:cs="Arial"/>
                <w:b w:val="0"/>
                <w:i w:val="0"/>
                <w:color w:val="1E2A36"/>
                <w:sz w:val="18"/>
              </w:rPr>
              <w:t>Sections 5–8  ·  Materials, hazards, existing evidence, chemistry and toxicology</w:t>
            </w:r>
          </w:p>
        </w:tc>
      </w:tr>
      <w:tr>
        <w:trPr>
          <w:cantSplit/>
        </w:trPr>
        <w:tc>
          <w:tcPr>
            <w:tcW w:type="dxa" w:w="2520"/>
            <w:shd w:fill="0A2342"/>
            <w:tcMar>
              <w:top w:w="145" w:type="dxa"/>
              <w:start w:w="145" w:type="dxa"/>
              <w:bottom w:w="145" w:type="dxa"/>
              <w:end w:w="145" w:type="dxa"/>
            </w:tcMar>
            <w:tcBorders>
              <w:top w:val="single" w:sz="5" w:color="D9DEE5" w:space="0"/>
              <w:left w:val="single" w:sz="5" w:color="D9DEE5" w:space="0"/>
              <w:bottom w:val="single" w:sz="5" w:color="D9DEE5" w:space="0"/>
              <w:right w:val="single" w:sz="5" w:color="D9DEE5" w:space="0"/>
            </w:tcBorders>
          </w:tcPr>
          <w:p>
            <w:pPr>
              <w:spacing w:after="40"/>
            </w:pPr>
            <w:r>
              <w:rPr>
                <w:rFonts w:ascii="Arial" w:hAnsi="Arial" w:eastAsia="Arial" w:cs="Arial"/>
                <w:b/>
                <w:i w:val="0"/>
                <w:color w:val="00B4A6"/>
                <w:sz w:val="16"/>
              </w:rPr>
              <w:t>PHASE 03</w:t>
            </w:r>
          </w:p>
          <w:p>
            <w:pPr>
              <w:spacing w:after="0"/>
            </w:pPr>
            <w:r>
              <w:rPr>
                <w:rFonts w:ascii="Arial" w:hAnsi="Arial" w:eastAsia="Arial" w:cs="Arial"/>
                <w:b/>
                <w:i w:val="0"/>
                <w:color w:val="FFFFFF"/>
                <w:sz w:val="20"/>
              </w:rPr>
              <w:t>Decide and govern</w:t>
            </w:r>
          </w:p>
        </w:tc>
        <w:tc>
          <w:tcPr>
            <w:tcW w:type="dxa" w:w="7114"/>
            <w:shd w:fill="EDF2FB"/>
            <w:tcMar>
              <w:top w:w="130" w:type="dxa"/>
              <w:start w:w="160" w:type="dxa"/>
              <w:bottom w:w="130" w:type="dxa"/>
              <w:end w:w="160" w:type="dxa"/>
            </w:tcMar>
            <w:tcBorders>
              <w:top w:val="single" w:sz="5" w:color="D9DEE5" w:space="0"/>
              <w:left w:val="single" w:sz="5" w:color="D9DEE5" w:space="0"/>
              <w:bottom w:val="single" w:sz="5" w:color="D9DEE5" w:space="0"/>
              <w:right w:val="single" w:sz="5" w:color="D9DEE5" w:space="0"/>
            </w:tcBorders>
          </w:tcPr>
          <w:p>
            <w:pPr>
              <w:spacing w:after="0" w:line="264" w:lineRule="auto"/>
            </w:pPr>
            <w:r>
              <w:rPr>
                <w:rFonts w:ascii="Arial" w:hAnsi="Arial" w:eastAsia="Arial" w:cs="Arial"/>
                <w:b w:val="0"/>
                <w:i w:val="0"/>
                <w:color w:val="1E2A36"/>
                <w:sz w:val="18"/>
              </w:rPr>
              <w:t>Sections 9–11  ·  Test strategy, risk traceability and lifecycle review</w:t>
            </w:r>
          </w:p>
        </w:tc>
      </w:tr>
    </w:tbl>
    <w:p>
      <w:pPr>
        <w:pStyle w:val="Heading2"/>
      </w:pPr>
      <w:r>
        <w:t>Working sequence</w:t>
      </w:r>
    </w:p>
    <w:tbl>
      <w:tblPr>
        <w:tblW w:type="dxa" w:w="9634"/>
        <w:jc w:val="center"/>
        <w:tblLayout w:type="fixed"/>
        <w:tblLook w:firstColumn="1" w:firstRow="1" w:lastColumn="0" w:lastRow="0" w:noHBand="0" w:noVBand="1" w:val="04A0"/>
      </w:tblPr>
      <w:tblGrid>
        <w:gridCol w:w="2408"/>
        <w:gridCol w:w="2408"/>
        <w:gridCol w:w="2408"/>
        <w:gridCol w:w="2408"/>
      </w:tblGrid>
      <w:tr>
        <w:trPr>
          <w:cantSplit/>
        </w:trPr>
        <w:tc>
          <w:tcPr>
            <w:tcW w:type="dxa" w:w="2408"/>
            <w:shd w:fill="0A2342"/>
            <w:tcMar>
              <w:top w:w="90" w:type="dxa"/>
              <w:start w:w="110" w:type="dxa"/>
              <w:bottom w:w="70" w:type="dxa"/>
              <w:end w:w="110" w:type="dxa"/>
            </w:tcMar>
            <w:tcBorders>
              <w:top w:val="single" w:sz="4" w:color="0A2342" w:space="0"/>
              <w:left w:val="single" w:sz="4" w:color="0A2342" w:space="0"/>
              <w:bottom w:val="single" w:sz="4" w:color="0A2342" w:space="0"/>
              <w:right w:val="single" w:sz="4" w:color="0A2342" w:space="0"/>
            </w:tcBorders>
          </w:tcPr>
          <w:p>
            <w:pPr>
              <w:spacing w:after="0"/>
            </w:pPr>
            <w:r>
              <w:rPr>
                <w:rFonts w:ascii="Arial" w:hAnsi="Arial" w:eastAsia="Arial" w:cs="Arial"/>
                <w:b/>
                <w:i w:val="0"/>
                <w:color w:val="00B4A6"/>
                <w:sz w:val="21"/>
              </w:rPr>
              <w:t>01</w:t>
            </w:r>
          </w:p>
        </w:tc>
        <w:tc>
          <w:tcPr>
            <w:tcW w:type="dxa" w:w="2408"/>
            <w:shd w:fill="0A2342"/>
            <w:tcMar>
              <w:top w:w="90" w:type="dxa"/>
              <w:start w:w="110" w:type="dxa"/>
              <w:bottom w:w="70" w:type="dxa"/>
              <w:end w:w="110" w:type="dxa"/>
            </w:tcMar>
            <w:tcBorders>
              <w:top w:val="single" w:sz="4" w:color="0A2342" w:space="0"/>
              <w:left w:val="single" w:sz="4" w:color="0A2342" w:space="0"/>
              <w:bottom w:val="single" w:sz="4" w:color="0A2342" w:space="0"/>
              <w:right w:val="single" w:sz="4" w:color="0A2342" w:space="0"/>
            </w:tcBorders>
          </w:tcPr>
          <w:p>
            <w:pPr>
              <w:spacing w:after="0"/>
            </w:pPr>
            <w:r>
              <w:rPr>
                <w:rFonts w:ascii="Arial" w:hAnsi="Arial" w:eastAsia="Arial" w:cs="Arial"/>
                <w:b/>
                <w:i w:val="0"/>
                <w:color w:val="00B4A6"/>
                <w:sz w:val="21"/>
              </w:rPr>
              <w:t>02</w:t>
            </w:r>
          </w:p>
        </w:tc>
        <w:tc>
          <w:tcPr>
            <w:tcW w:type="dxa" w:w="2408"/>
            <w:shd w:fill="0A2342"/>
            <w:tcMar>
              <w:top w:w="90" w:type="dxa"/>
              <w:start w:w="110" w:type="dxa"/>
              <w:bottom w:w="70" w:type="dxa"/>
              <w:end w:w="110" w:type="dxa"/>
            </w:tcMar>
            <w:tcBorders>
              <w:top w:val="single" w:sz="4" w:color="0A2342" w:space="0"/>
              <w:left w:val="single" w:sz="4" w:color="0A2342" w:space="0"/>
              <w:bottom w:val="single" w:sz="4" w:color="0A2342" w:space="0"/>
              <w:right w:val="single" w:sz="4" w:color="0A2342" w:space="0"/>
            </w:tcBorders>
          </w:tcPr>
          <w:p>
            <w:pPr>
              <w:spacing w:after="0"/>
            </w:pPr>
            <w:r>
              <w:rPr>
                <w:rFonts w:ascii="Arial" w:hAnsi="Arial" w:eastAsia="Arial" w:cs="Arial"/>
                <w:b/>
                <w:i w:val="0"/>
                <w:color w:val="00B4A6"/>
                <w:sz w:val="21"/>
              </w:rPr>
              <w:t>03</w:t>
            </w:r>
          </w:p>
        </w:tc>
        <w:tc>
          <w:tcPr>
            <w:tcW w:type="dxa" w:w="2408"/>
            <w:shd w:fill="0A2342"/>
            <w:tcMar>
              <w:top w:w="90" w:type="dxa"/>
              <w:start w:w="110" w:type="dxa"/>
              <w:bottom w:w="70" w:type="dxa"/>
              <w:end w:w="110" w:type="dxa"/>
            </w:tcMar>
            <w:tcBorders>
              <w:top w:val="single" w:sz="4" w:color="0A2342" w:space="0"/>
              <w:left w:val="single" w:sz="4" w:color="0A2342" w:space="0"/>
              <w:bottom w:val="single" w:sz="4" w:color="0A2342" w:space="0"/>
              <w:right w:val="single" w:sz="4" w:color="0A2342" w:space="0"/>
            </w:tcBorders>
          </w:tcPr>
          <w:p>
            <w:pPr>
              <w:spacing w:after="0"/>
            </w:pPr>
            <w:r>
              <w:rPr>
                <w:rFonts w:ascii="Arial" w:hAnsi="Arial" w:eastAsia="Arial" w:cs="Arial"/>
                <w:b/>
                <w:i w:val="0"/>
                <w:color w:val="00B4A6"/>
                <w:sz w:val="21"/>
              </w:rPr>
              <w:t>04</w:t>
            </w:r>
          </w:p>
        </w:tc>
      </w:tr>
      <w:tr>
        <w:trPr>
          <w:cantSplit/>
        </w:trPr>
        <w:tc>
          <w:tcPr>
            <w:tcW w:type="dxa" w:w="2408"/>
            <w:shd w:fill="EDF2FB"/>
            <w:tcMar>
              <w:top w:w="80" w:type="dxa"/>
              <w:start w:w="110" w:type="dxa"/>
              <w:bottom w:w="100" w:type="dxa"/>
              <w:end w:w="110" w:type="dxa"/>
            </w:tcMar>
            <w:tcBorders>
              <w:top w:val="single" w:sz="4" w:color="D9DEE5" w:space="0"/>
              <w:left w:val="single" w:sz="4" w:color="D9DEE5" w:space="0"/>
              <w:bottom w:val="single" w:sz="4" w:color="D9DEE5" w:space="0"/>
              <w:right w:val="single" w:sz="4" w:color="D9DEE5" w:space="0"/>
            </w:tcBorders>
          </w:tcPr>
          <w:p>
            <w:pPr>
              <w:spacing w:after="0" w:line="252" w:lineRule="auto"/>
            </w:pPr>
            <w:r>
              <w:rPr>
                <w:rFonts w:ascii="Arial" w:hAnsi="Arial" w:eastAsia="Arial" w:cs="Arial"/>
                <w:b/>
                <w:i w:val="0"/>
                <w:color w:val="1E2A36"/>
                <w:sz w:val="17"/>
              </w:rPr>
              <w:t>Save a controlled copy</w:t>
            </w:r>
          </w:p>
        </w:tc>
        <w:tc>
          <w:tcPr>
            <w:tcW w:type="dxa" w:w="2408"/>
            <w:shd w:fill="E9F7F5"/>
            <w:tcMar>
              <w:top w:w="80" w:type="dxa"/>
              <w:start w:w="110" w:type="dxa"/>
              <w:bottom w:w="100" w:type="dxa"/>
              <w:end w:w="110" w:type="dxa"/>
            </w:tcMar>
            <w:tcBorders>
              <w:top w:val="single" w:sz="4" w:color="D9DEE5" w:space="0"/>
              <w:left w:val="single" w:sz="4" w:color="D9DEE5" w:space="0"/>
              <w:bottom w:val="single" w:sz="4" w:color="D9DEE5" w:space="0"/>
              <w:right w:val="single" w:sz="4" w:color="D9DEE5" w:space="0"/>
            </w:tcBorders>
          </w:tcPr>
          <w:p>
            <w:pPr>
              <w:spacing w:after="0" w:line="252" w:lineRule="auto"/>
            </w:pPr>
            <w:r>
              <w:rPr>
                <w:rFonts w:ascii="Arial" w:hAnsi="Arial" w:eastAsia="Arial" w:cs="Arial"/>
                <w:b/>
                <w:i w:val="0"/>
                <w:color w:val="1E2A36"/>
                <w:sz w:val="17"/>
              </w:rPr>
              <w:t>Complete every applicable prompt</w:t>
            </w:r>
          </w:p>
        </w:tc>
        <w:tc>
          <w:tcPr>
            <w:tcW w:type="dxa" w:w="2408"/>
            <w:shd w:fill="EDF2FB"/>
            <w:tcMar>
              <w:top w:w="80" w:type="dxa"/>
              <w:start w:w="110" w:type="dxa"/>
              <w:bottom w:w="100" w:type="dxa"/>
              <w:end w:w="110" w:type="dxa"/>
            </w:tcMar>
            <w:tcBorders>
              <w:top w:val="single" w:sz="4" w:color="D9DEE5" w:space="0"/>
              <w:left w:val="single" w:sz="4" w:color="D9DEE5" w:space="0"/>
              <w:bottom w:val="single" w:sz="4" w:color="D9DEE5" w:space="0"/>
              <w:right w:val="single" w:sz="4" w:color="D9DEE5" w:space="0"/>
            </w:tcBorders>
          </w:tcPr>
          <w:p>
            <w:pPr>
              <w:spacing w:after="0" w:line="252" w:lineRule="auto"/>
            </w:pPr>
            <w:r>
              <w:rPr>
                <w:rFonts w:ascii="Arial" w:hAnsi="Arial" w:eastAsia="Arial" w:cs="Arial"/>
                <w:b/>
                <w:i w:val="0"/>
                <w:color w:val="1E2A36"/>
                <w:sz w:val="17"/>
              </w:rPr>
              <w:t>Assign gaps and reviewers</w:t>
            </w:r>
          </w:p>
        </w:tc>
        <w:tc>
          <w:tcPr>
            <w:tcW w:type="dxa" w:w="2408"/>
            <w:shd w:fill="E9F7F5"/>
            <w:tcMar>
              <w:top w:w="80" w:type="dxa"/>
              <w:start w:w="110" w:type="dxa"/>
              <w:bottom w:w="100" w:type="dxa"/>
              <w:end w:w="110" w:type="dxa"/>
            </w:tcMar>
            <w:tcBorders>
              <w:top w:val="single" w:sz="4" w:color="D9DEE5" w:space="0"/>
              <w:left w:val="single" w:sz="4" w:color="D9DEE5" w:space="0"/>
              <w:bottom w:val="single" w:sz="4" w:color="D9DEE5" w:space="0"/>
              <w:right w:val="single" w:sz="4" w:color="D9DEE5" w:space="0"/>
            </w:tcBorders>
          </w:tcPr>
          <w:p>
            <w:pPr>
              <w:spacing w:after="0" w:line="252" w:lineRule="auto"/>
            </w:pPr>
            <w:r>
              <w:rPr>
                <w:rFonts w:ascii="Arial" w:hAnsi="Arial" w:eastAsia="Arial" w:cs="Arial"/>
                <w:b/>
                <w:i w:val="0"/>
                <w:color w:val="1E2A36"/>
                <w:sz w:val="17"/>
              </w:rPr>
              <w:t>Approve before implementation</w:t>
            </w:r>
          </w:p>
        </w:tc>
      </w:tr>
    </w:tbl>
    <w:p>
      <w:pPr>
        <w:spacing w:after="60"/>
      </w:pPr>
    </w:p>
    <w:p>
      <w:pPr>
        <w:pStyle w:val="Sectionlabel"/>
        <w:pageBreakBefore/>
      </w:pPr>
      <w:r>
        <w:t>SECTION 01</w:t>
      </w:r>
    </w:p>
    <w:p>
      <w:pPr>
        <w:pStyle w:val="Heading1"/>
      </w:pPr>
      <w:r>
        <w:rPr>
          <w:rFonts w:ascii="Georgia" w:hAnsi="Georgia" w:eastAsia="Georgia" w:cs="Georgia"/>
          <w:b/>
          <w:i w:val="0"/>
          <w:color w:val="0A2342"/>
          <w:sz w:val="38"/>
        </w:rPr>
        <w:t>Scope and document control</w:t>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Organisation and manufacturer</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[Legal manufacturer and document owner]</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Document ID and revision</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[Your controlled BEP identifier, revision, status and date]</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Device and scope</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[Wipe name, model codes, formulation revision, included variants and explicit exclusions]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Purpose and linked files</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[New product, change assessment or other reason; risk management file, technical file and intended BER reference]</w:t>
            </w:r>
          </w:p>
        </w:tc>
      </w:tr>
    </w:tbl>
    <w:p>
      <w:pPr>
        <w:spacing w:after="50"/>
      </w:pPr>
    </w:p>
    <w:tbl>
      <w:tblPr>
        <w:tblW w:type="auto" w:w="0"/>
        <w:jc w:val="center"/>
        <w:tblLayout w:type="fixed"/>
        <w:tblLook w:firstColumn="1" w:firstRow="1" w:lastColumn="0" w:lastRow="0" w:noHBand="0" w:noVBand="1" w:val="04A0"/>
      </w:tblPr>
      <w:tblGrid>
        <w:gridCol w:w="1872"/>
        <w:gridCol w:w="4896"/>
        <w:gridCol w:w="3312"/>
      </w:tblGrid>
      <w:tr>
        <w:trPr>
          <w:tblHeader/>
          <w:cantSplit/>
        </w:trPr>
        <w:tc>
          <w:tcPr>
            <w:tcW w:type="dxa" w:w="1872"/>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Role</w:t>
            </w:r>
          </w:p>
        </w:tc>
        <w:tc>
          <w:tcPr>
            <w:tcW w:type="dxa" w:w="4896"/>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Name and relevant competence</w:t>
            </w:r>
          </w:p>
        </w:tc>
        <w:tc>
          <w:tcPr>
            <w:tcW w:type="dxa" w:w="3312"/>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Approval record and date</w:t>
            </w:r>
          </w:p>
        </w:tc>
      </w:tr>
      <w:tr>
        <w:trPr>
          <w:cantSplit/>
        </w:trPr>
        <w:tc>
          <w:tcPr>
            <w:tcW w:type="dxa" w:w="187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Prepared by</w:t>
            </w:r>
          </w:p>
        </w:tc>
        <w:tc>
          <w:tcPr>
            <w:tcW w:type="dxa" w:w="4896"/>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[Name / role]</w:t>
            </w:r>
          </w:p>
        </w:tc>
        <w:tc>
          <w:tcPr>
            <w:tcW w:type="dxa" w:w="331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[Pending]</w:t>
            </w:r>
          </w:p>
        </w:tc>
      </w:tr>
      <w:tr>
        <w:trPr>
          <w:cantSplit/>
        </w:trPr>
        <w:tc>
          <w:tcPr>
            <w:tcW w:type="dxa" w:w="1872"/>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Scientific review</w:t>
            </w:r>
          </w:p>
        </w:tc>
        <w:tc>
          <w:tcPr>
            <w:tcW w:type="dxa" w:w="4896"/>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[Name / relevant expertise]</w:t>
            </w:r>
          </w:p>
        </w:tc>
        <w:tc>
          <w:tcPr>
            <w:tcW w:type="dxa" w:w="3312"/>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[Pending]</w:t>
            </w:r>
          </w:p>
        </w:tc>
      </w:tr>
      <w:tr>
        <w:trPr>
          <w:cantSplit/>
        </w:trPr>
        <w:tc>
          <w:tcPr>
            <w:tcW w:type="dxa" w:w="187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Authorised by</w:t>
            </w:r>
          </w:p>
        </w:tc>
        <w:tc>
          <w:tcPr>
            <w:tcW w:type="dxa" w:w="4896"/>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[Responsible function]</w:t>
            </w:r>
          </w:p>
        </w:tc>
        <w:tc>
          <w:tcPr>
            <w:tcW w:type="dxa" w:w="331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[Pending]</w:t>
            </w:r>
          </w:p>
        </w:tc>
      </w:tr>
    </w:tbl>
    <w:p>
      <w:pPr>
        <w:spacing w:after="0"/>
      </w:pPr>
      <w:r>
        <w:rPr>
          <w:b w:val="0"/>
        </w:rPr>
      </w:r>
    </w:p>
    <w:p>
      <w:r>
        <w:rPr>
          <w:b w:val="0"/>
          <w:sz w:val="20"/>
        </w:rPr>
        <w:t>Approval of this plan authorises the agreed evaluation work. It does not establish that biological safety has already been demonstrated.</w:t>
      </w:r>
    </w:p>
    <w:p>
      <w:pPr>
        <w:pStyle w:val="Sectionlabel"/>
      </w:pPr>
      <w:r>
        <w:t>SECTION 02</w:t>
      </w:r>
    </w:p>
    <w:p>
      <w:pPr>
        <w:pStyle w:val="Heading1"/>
      </w:pPr>
      <w:r>
        <w:rPr>
          <w:rFonts w:ascii="Georgia" w:hAnsi="Georgia" w:eastAsia="Georgia" w:cs="Georgia"/>
          <w:b/>
          <w:i w:val="0"/>
          <w:color w:val="0A2342"/>
          <w:sz w:val="38"/>
        </w:rPr>
        <w:t>Intended purpose and product determination</w:t>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Intended purpose and claims</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[Describe what the wipe is intended to do; quote the controlled intended-use statement and IFU revision]</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Patients users and setting</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[Patient population, relevant vulnerable groups, intended users, use environment and limits of use]</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Product determination</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[State the category and regulatory basis for each market, including any unresolved classification question]</w:t>
            </w:r>
          </w:p>
        </w:tc>
      </w:tr>
    </w:tbl>
    <w:p>
      <w:pPr>
        <w:spacing w:after="50"/>
      </w:pPr>
    </w:p>
    <w:p>
      <w:r>
        <w:rPr>
          <w:b w:val="0"/>
        </w:rPr>
        <w:t>A patient skin wipe, a device-processing wipe and a general surface disinfectant can follow different regulatory routes. A “medical” label alone does not establish ISO 10993 applicability. Resolve that question before using this as the product’s biological evaluation plan. [1, 2]</w:t>
      </w:r>
    </w:p>
    <w:tbl>
      <w:tblPr>
        <w:tblW w:type="auto" w:w="0"/>
        <w:jc w:val="center"/>
        <w:tblLayout w:type="fixed"/>
        <w:tblLook w:firstColumn="1" w:firstRow="1" w:lastColumn="0" w:lastRow="0" w:noHBand="0" w:noVBand="1" w:val="04A0"/>
      </w:tblPr>
      <w:tblGrid>
        <w:gridCol w:w="1512"/>
        <w:gridCol w:w="4320"/>
        <w:gridCol w:w="4248"/>
      </w:tblGrid>
      <w:tr>
        <w:trPr>
          <w:tblHeader/>
          <w:cantSplit/>
        </w:trPr>
        <w:tc>
          <w:tcPr>
            <w:tcW w:type="dxa" w:w="1512"/>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Market</w:t>
            </w:r>
          </w:p>
        </w:tc>
        <w:tc>
          <w:tcPr>
            <w:tcW w:type="dxa" w:w="4320"/>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Applicable framework and edition</w:t>
            </w:r>
          </w:p>
        </w:tc>
        <w:tc>
          <w:tcPr>
            <w:tcW w:type="dxa" w:w="4248"/>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Conditions and verification</w:t>
            </w:r>
          </w:p>
        </w:tc>
      </w:tr>
      <w:tr>
        <w:trPr>
          <w:cantSplit/>
        </w:trPr>
        <w:tc>
          <w:tcPr>
            <w:tcW w:type="dxa" w:w="151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[Market]</w:t>
            </w:r>
          </w:p>
        </w:tc>
        <w:tc>
          <w:tcPr>
            <w:tcW w:type="dxa" w:w="4320"/>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[Standard / guidance / device-specific control and exact edition]</w:t>
            </w:r>
          </w:p>
        </w:tc>
        <w:tc>
          <w:tcPr>
            <w:tcW w:type="dxa" w:w="4248"/>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[Recognition scope, exclusions, transition provisions, source, reviewer and date checked]</w:t>
            </w:r>
          </w:p>
        </w:tc>
      </w:tr>
      <w:tr>
        <w:trPr>
          <w:cantSplit/>
        </w:trPr>
        <w:tc>
          <w:tcPr>
            <w:tcW w:type="dxa" w:w="1512"/>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[Market]</w:t>
            </w:r>
          </w:p>
        </w:tc>
        <w:tc>
          <w:tcPr>
            <w:tcW w:type="dxa" w:w="4320"/>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[As applicable]</w:t>
            </w:r>
          </w:p>
        </w:tc>
        <w:tc>
          <w:tcPr>
            <w:tcW w:type="dxa" w:w="4248"/>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[Any differences from the first market]</w:t>
            </w:r>
          </w:p>
        </w:tc>
      </w:tr>
    </w:tbl>
    <w:p>
      <w:pPr>
        <w:spacing w:after="0"/>
      </w:pPr>
      <w:r>
        <w:rPr>
          <w:b w:val="0"/>
        </w:rPr>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Plan applicability</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[Explain why biological evaluation applies to the specified pathways, or record the alternative assessment needed]</w:t>
            </w:r>
          </w:p>
        </w:tc>
      </w:tr>
    </w:tbl>
    <w:p>
      <w:pPr>
        <w:spacing w:after="50"/>
      </w:pPr>
    </w:p>
    <w:p>
      <w:pPr>
        <w:pStyle w:val="Sectionlabel"/>
      </w:pPr>
      <w:r>
        <w:t>SECTION 03</w:t>
      </w:r>
    </w:p>
    <w:p>
      <w:pPr>
        <w:pStyle w:val="Heading1"/>
      </w:pPr>
      <w:r>
        <w:rPr>
          <w:rFonts w:ascii="Georgia" w:hAnsi="Georgia" w:eastAsia="Georgia" w:cs="Georgia"/>
          <w:b/>
          <w:i w:val="0"/>
          <w:color w:val="0A2342"/>
          <w:sz w:val="38"/>
        </w:rPr>
        <w:t>Final finished wipe description</w:t>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Wipe system</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[Substrate, dimensions, complete liquid formulation reference, loading range, packaging configuration and variant differences]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Manufacturing and condition of supply</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[Key processes, process aids, cleanliness controls, sterilisation if applicable, batch traceability and relevant specifications]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Storage and life</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[Shelf life, packaging integrity, opening period, storage conditions, aging and foreseeable dry-out effects]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Use sequence</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[Amount applied, application method, frequency, exposure after wiping, and any rinsing, drying or subsequent reprocessing]</w:t>
            </w:r>
          </w:p>
        </w:tc>
      </w:tr>
    </w:tbl>
    <w:p>
      <w:pPr>
        <w:spacing w:after="50"/>
      </w:pPr>
    </w:p>
    <w:p>
      <w:r>
        <w:rPr>
          <w:b w:val="0"/>
        </w:rPr>
        <w:t>Evaluate the relevant final finished system, including processing and residues. A supplier’s raw-material or ingredient record alone does not establish the finished wipe’s safety. [3]</w:t>
      </w:r>
    </w:p>
    <w:p>
      <w:pPr>
        <w:pStyle w:val="Sectionlabel"/>
      </w:pPr>
      <w:r>
        <w:t>SECTION 04</w:t>
      </w:r>
    </w:p>
    <w:p>
      <w:pPr>
        <w:pStyle w:val="Heading1"/>
      </w:pPr>
      <w:r>
        <w:rPr>
          <w:rFonts w:ascii="Georgia" w:hAnsi="Georgia" w:eastAsia="Georgia" w:cs="Georgia"/>
          <w:b/>
          <w:i w:val="0"/>
          <w:color w:val="0A2342"/>
          <w:sz w:val="38"/>
        </w:rPr>
        <w:t>Contact and exposure map</w:t>
      </w:r>
    </w:p>
    <w:p>
      <w:r>
        <w:rPr>
          <w:b w:val="0"/>
        </w:rPr>
        <w:t>Give each distinct pathway an identifier. Include substances left behind after the wipe is removed. For a device-processing wipe, map the processed device’s later patient contact and the specified subsequent processing steps. Do not assume that wipe contact time equals residue exposure time. [3, 5]</w:t>
      </w:r>
    </w:p>
    <w:tbl>
      <w:tblPr>
        <w:tblW w:type="auto" w:w="0"/>
        <w:jc w:val="center"/>
        <w:tblLayout w:type="fixed"/>
        <w:tblLook w:firstColumn="1" w:firstRow="1" w:lastColumn="0" w:lastRow="0" w:noHBand="0" w:noVBand="1" w:val="04A0"/>
      </w:tblPr>
      <w:tblGrid>
        <w:gridCol w:w="2448"/>
        <w:gridCol w:w="2448"/>
        <w:gridCol w:w="5184"/>
      </w:tblGrid>
      <w:tr>
        <w:trPr>
          <w:tblHeader/>
          <w:cantSplit/>
        </w:trPr>
        <w:tc>
          <w:tcPr>
            <w:tcW w:type="dxa" w:w="2448"/>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Pathway ID and route</w:t>
            </w:r>
          </w:p>
        </w:tc>
        <w:tc>
          <w:tcPr>
            <w:tcW w:type="dxa" w:w="2448"/>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Who and where</w:t>
            </w:r>
          </w:p>
        </w:tc>
        <w:tc>
          <w:tcPr>
            <w:tcW w:type="dxa" w:w="5184"/>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Exposure description</w:t>
            </w:r>
          </w:p>
        </w:tc>
      </w:tr>
      <w:tr>
        <w:trPr>
          <w:cantSplit/>
        </w:trPr>
        <w:tc>
          <w:tcPr>
            <w:tcW w:type="dxa" w:w="2448"/>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[P01] Direct wipe contact</w:t>
            </w:r>
          </w:p>
        </w:tc>
        <w:tc>
          <w:tcPr>
            <w:tcW w:type="dxa" w:w="2448"/>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[Patient / tissue]</w:t>
            </w:r>
          </w:p>
        </w:tc>
        <w:tc>
          <w:tcPr>
            <w:tcW w:type="dxa" w:w="5184"/>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[Substrate and liquid contact; frequency, time per use and cumulative duration]</w:t>
            </w:r>
          </w:p>
        </w:tc>
      </w:tr>
      <w:tr>
        <w:trPr>
          <w:cantSplit/>
        </w:trPr>
        <w:tc>
          <w:tcPr>
            <w:tcW w:type="dxa" w:w="2448"/>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[P02] Deposited liquid or residue</w:t>
            </w:r>
          </w:p>
        </w:tc>
        <w:tc>
          <w:tcPr>
            <w:tcW w:type="dxa" w:w="2448"/>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[Patient / tissue]</w:t>
            </w:r>
          </w:p>
        </w:tc>
        <w:tc>
          <w:tcPr>
            <w:tcW w:type="dxa" w:w="5184"/>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[Amount retained, area, persistence, rinsing and repeated use]</w:t>
            </w:r>
          </w:p>
        </w:tc>
      </w:tr>
      <w:tr>
        <w:trPr>
          <w:cantSplit/>
        </w:trPr>
        <w:tc>
          <w:tcPr>
            <w:tcW w:type="dxa" w:w="2448"/>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[P03] Via a processed device</w:t>
            </w:r>
          </w:p>
        </w:tc>
        <w:tc>
          <w:tcPr>
            <w:tcW w:type="dxa" w:w="2448"/>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[Patient / tissue]</w:t>
            </w:r>
          </w:p>
        </w:tc>
        <w:tc>
          <w:tcPr>
            <w:tcW w:type="dxa" w:w="5184"/>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[Device, residue transfer, later contact and repeated processing cycles]</w:t>
            </w:r>
          </w:p>
        </w:tc>
      </w:tr>
      <w:tr>
        <w:trPr>
          <w:cantSplit/>
        </w:trPr>
        <w:tc>
          <w:tcPr>
            <w:tcW w:type="dxa" w:w="2448"/>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[P04] Non-patient user</w:t>
            </w:r>
          </w:p>
        </w:tc>
        <w:tc>
          <w:tcPr>
            <w:tcW w:type="dxa" w:w="2448"/>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[User / site or route]</w:t>
            </w:r>
          </w:p>
        </w:tc>
        <w:tc>
          <w:tcPr>
            <w:tcW w:type="dxa" w:w="5184"/>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[Intended contact and foreseeable exposure; governing safety framework]</w:t>
            </w:r>
          </w:p>
        </w:tc>
      </w:tr>
    </w:tbl>
    <w:p>
      <w:pPr>
        <w:spacing w:after="0"/>
      </w:pPr>
      <w:r>
        <w:rPr>
          <w:b w:val="0"/>
        </w:rPr>
      </w:r>
    </w:p>
    <w:p>
      <w:r>
        <w:rPr>
          <w:b w:val="0"/>
        </w:rPr>
        <w:t>These are prompts, not assumed product pathways. Delete an irrelevant pathway only after recording the reason; add any missing one. Separate the ISO 10993 evaluation from other user or occupational-safety assessments where their scope differs. ISO 10993-1:2025 includes non-patient user contact where the device is intended for personal protection; device-specific controls may require other evidence. [6]</w:t>
      </w:r>
    </w:p>
    <w:p>
      <w:pPr>
        <w:pStyle w:val="Heading2"/>
      </w:pPr>
      <w:r>
        <w:t>Exposure basis for each retained pathway</w:t>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Pathway and contact classification</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[Pathway ID; direct or indirect contact; tissue condition; duration classification and its current source]</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Exposure schedule</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[Uses per day, amount per use, area, retention time, treatment period and calculation of cumulative exposure with units]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Worst relevant exposure</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[Maximum credible use, high loading or retained residue, sensitive population and assumptions requiring evidence]</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Supporting records and gaps</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[IFU / transfer measurement / literature or other source IDs; unknown inputs and action IDs]</w:t>
            </w:r>
          </w:p>
        </w:tc>
      </w:tr>
    </w:tbl>
    <w:p>
      <w:pPr>
        <w:spacing w:after="50"/>
      </w:pPr>
    </w:p>
    <w:p>
      <w:r>
        <w:rPr>
          <w:b w:val="0"/>
          <w:sz w:val="21"/>
        </w:rPr>
        <w:t>Duplicate this exposure-basis record for each pathway. Do not combine distinct tissues, users or residue routes merely to fit one contact category.</w:t>
      </w:r>
    </w:p>
    <w:p>
      <w:pPr>
        <w:pStyle w:val="Sectionlabel"/>
        <w:pageBreakBefore/>
      </w:pPr>
      <w:r>
        <w:t>PHASE 01 CHECKPOINT</w:t>
      </w:r>
    </w:p>
    <w:tbl>
      <w:tblPr>
        <w:tblW w:type="dxa" w:w="9634"/>
        <w:jc w:val="center"/>
        <w:tblLayout w:type="fixed"/>
        <w:tblLook w:firstColumn="1" w:firstRow="1" w:lastColumn="0" w:lastRow="0" w:noHBand="0" w:noVBand="1" w:val="04A0"/>
      </w:tblPr>
      <w:tblGrid>
        <w:gridCol w:w="720"/>
        <w:gridCol w:w="8914"/>
      </w:tblGrid>
      <w:tr>
        <w:trPr>
          <w:cantSplit/>
        </w:trPr>
        <w:tc>
          <w:tcPr>
            <w:tcW w:type="dxa" w:w="720"/>
            <w:shd w:fill="E9F7F5"/>
            <w:tcMar>
              <w:top w:w="85" w:type="dxa"/>
              <w:start w:w="100" w:type="dxa"/>
              <w:bottom w:w="85" w:type="dxa"/>
              <w:end w:w="10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3"/>
              </w:rPr>
              <w:t>☐</w:t>
            </w:r>
          </w:p>
        </w:tc>
        <w:tc>
          <w:tcPr>
            <w:tcW w:type="dxa" w:w="8914"/>
            <w:shd w:fill="F8FAFC"/>
            <w:tcMar>
              <w:top w:w="85" w:type="dxa"/>
              <w:start w:w="130" w:type="dxa"/>
              <w:bottom w:w="85" w:type="dxa"/>
              <w:end w:w="130"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val="0"/>
                <w:i w:val="0"/>
                <w:color w:val="1E2A36"/>
                <w:sz w:val="18"/>
              </w:rPr>
              <w:t>Product determination and document scope are explicit.</w:t>
            </w:r>
          </w:p>
        </w:tc>
      </w:tr>
      <w:tr>
        <w:trPr>
          <w:cantSplit/>
        </w:trPr>
        <w:tc>
          <w:tcPr>
            <w:tcW w:type="dxa" w:w="720"/>
            <w:shd w:fill="E9F7F5"/>
            <w:tcMar>
              <w:top w:w="85" w:type="dxa"/>
              <w:start w:w="100" w:type="dxa"/>
              <w:bottom w:w="85" w:type="dxa"/>
              <w:end w:w="10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3"/>
              </w:rPr>
              <w:t>☐</w:t>
            </w:r>
          </w:p>
        </w:tc>
        <w:tc>
          <w:tcPr>
            <w:tcW w:type="dxa" w:w="8914"/>
            <w:shd w:fill="FFFFFF"/>
            <w:tcMar>
              <w:top w:w="85" w:type="dxa"/>
              <w:start w:w="130" w:type="dxa"/>
              <w:bottom w:w="85" w:type="dxa"/>
              <w:end w:w="130"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val="0"/>
                <w:i w:val="0"/>
                <w:color w:val="1E2A36"/>
                <w:sz w:val="18"/>
              </w:rPr>
              <w:t>Every retained contact and residue pathway has an evidence basis.</w:t>
            </w:r>
          </w:p>
        </w:tc>
      </w:tr>
      <w:tr>
        <w:trPr>
          <w:cantSplit/>
        </w:trPr>
        <w:tc>
          <w:tcPr>
            <w:tcW w:type="dxa" w:w="720"/>
            <w:shd w:fill="E9F7F5"/>
            <w:tcMar>
              <w:top w:w="85" w:type="dxa"/>
              <w:start w:w="100" w:type="dxa"/>
              <w:bottom w:w="85" w:type="dxa"/>
              <w:end w:w="10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3"/>
              </w:rPr>
              <w:t>☐</w:t>
            </w:r>
          </w:p>
        </w:tc>
        <w:tc>
          <w:tcPr>
            <w:tcW w:type="dxa" w:w="8914"/>
            <w:shd w:fill="F8FAFC"/>
            <w:tcMar>
              <w:top w:w="85" w:type="dxa"/>
              <w:start w:w="130" w:type="dxa"/>
              <w:bottom w:w="85" w:type="dxa"/>
              <w:end w:w="130"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val="0"/>
                <w:i w:val="0"/>
                <w:color w:val="1E2A36"/>
                <w:sz w:val="18"/>
              </w:rPr>
              <w:t>Unknown inputs remain visible as assigned actions.</w:t>
            </w:r>
          </w:p>
        </w:tc>
      </w:tr>
    </w:tbl>
    <w:p>
      <w:pPr>
        <w:pStyle w:val="Sectionlabel"/>
      </w:pPr>
      <w:r>
        <w:t>SECTION 05</w:t>
      </w:r>
    </w:p>
    <w:p>
      <w:pPr>
        <w:pStyle w:val="Heading1"/>
      </w:pPr>
      <w:r>
        <w:rPr>
          <w:rFonts w:ascii="Georgia" w:hAnsi="Georgia" w:eastAsia="Georgia" w:cs="Georgia"/>
          <w:b/>
          <w:i w:val="0"/>
          <w:color w:val="0A2342"/>
          <w:sz w:val="38"/>
        </w:rPr>
        <w:t>Materials and manufacturing information</w:t>
      </w:r>
    </w:p>
    <w:p>
      <w:r>
        <w:rPr>
          <w:b w:val="0"/>
        </w:rPr>
        <w:t>Build a traceable inventory for the substrate, complete formulation, additives, impurities, processing aids and potentially transferred packaging constituents. Link restricted composition records through an agreed confidential review route; a safety data sheet may not provide a complete composition record.</w:t>
      </w:r>
    </w:p>
    <w:tbl>
      <w:tblPr>
        <w:tblW w:type="auto" w:w="0"/>
        <w:jc w:val="center"/>
        <w:tblLayout w:type="fixed"/>
        <w:tblLook w:firstColumn="1" w:firstRow="1" w:lastColumn="0" w:lastRow="0" w:noHBand="0" w:noVBand="1" w:val="04A0"/>
      </w:tblPr>
      <w:tblGrid>
        <w:gridCol w:w="2448"/>
        <w:gridCol w:w="3600"/>
        <w:gridCol w:w="4032"/>
      </w:tblGrid>
      <w:tr>
        <w:trPr>
          <w:tblHeader/>
          <w:cantSplit/>
        </w:trPr>
        <w:tc>
          <w:tcPr>
            <w:tcW w:type="dxa" w:w="2448"/>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Item and function</w:t>
            </w:r>
          </w:p>
        </w:tc>
        <w:tc>
          <w:tcPr>
            <w:tcW w:type="dxa" w:w="3600"/>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Specification and range</w:t>
            </w:r>
          </w:p>
        </w:tc>
        <w:tc>
          <w:tcPr>
            <w:tcW w:type="dxa" w:w="4032"/>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Source and information gap</w:t>
            </w:r>
          </w:p>
        </w:tc>
      </w:tr>
      <w:tr>
        <w:trPr>
          <w:cantSplit/>
        </w:trPr>
        <w:tc>
          <w:tcPr>
            <w:tcW w:type="dxa" w:w="2448"/>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[M01] Substrate</w:t>
            </w:r>
          </w:p>
        </w:tc>
        <w:tc>
          <w:tcPr>
            <w:tcW w:type="dxa" w:w="3600"/>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[Grade, supplier, treatments and additives]</w:t>
            </w:r>
          </w:p>
        </w:tc>
        <w:tc>
          <w:tcPr>
            <w:tcW w:type="dxa" w:w="403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[Record ID / revision; missing details]</w:t>
            </w:r>
          </w:p>
        </w:tc>
      </w:tr>
      <w:tr>
        <w:trPr>
          <w:cantSplit/>
        </w:trPr>
        <w:tc>
          <w:tcPr>
            <w:tcW w:type="dxa" w:w="2448"/>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[M02] Formulation component</w:t>
            </w:r>
          </w:p>
        </w:tc>
        <w:tc>
          <w:tcPr>
            <w:tcW w:type="dxa" w:w="3600"/>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[Identity, CAS if available, concentration range, purity]</w:t>
            </w:r>
          </w:p>
        </w:tc>
        <w:tc>
          <w:tcPr>
            <w:tcW w:type="dxa" w:w="4032"/>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[Supplier record and accessible assessor]</w:t>
            </w:r>
          </w:p>
        </w:tc>
      </w:tr>
      <w:tr>
        <w:trPr>
          <w:cantSplit/>
        </w:trPr>
        <w:tc>
          <w:tcPr>
            <w:tcW w:type="dxa" w:w="2448"/>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[M03] Process input</w:t>
            </w:r>
          </w:p>
        </w:tc>
        <w:tc>
          <w:tcPr>
            <w:tcW w:type="dxa" w:w="3600"/>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[Processing aid or sterilisation-related substance]</w:t>
            </w:r>
          </w:p>
        </w:tc>
        <w:tc>
          <w:tcPr>
            <w:tcW w:type="dxa" w:w="403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[Residual controls and supporting data]</w:t>
            </w:r>
          </w:p>
        </w:tc>
      </w:tr>
      <w:tr>
        <w:trPr>
          <w:cantSplit/>
        </w:trPr>
        <w:tc>
          <w:tcPr>
            <w:tcW w:type="dxa" w:w="2448"/>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[M04] Packaging interaction</w:t>
            </w:r>
          </w:p>
        </w:tc>
        <w:tc>
          <w:tcPr>
            <w:tcW w:type="dxa" w:w="3600"/>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[Material / potential migrant or sorption effect]</w:t>
            </w:r>
          </w:p>
        </w:tc>
        <w:tc>
          <w:tcPr>
            <w:tcW w:type="dxa" w:w="4032"/>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[Relevant study or open question]</w:t>
            </w:r>
          </w:p>
        </w:tc>
      </w:tr>
      <w:tr>
        <w:trPr>
          <w:cantSplit/>
        </w:trPr>
        <w:tc>
          <w:tcPr>
            <w:tcW w:type="dxa" w:w="2448"/>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[Add rows]</w:t>
            </w:r>
          </w:p>
        </w:tc>
        <w:tc>
          <w:tcPr>
            <w:tcW w:type="dxa" w:w="3600"/>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[Include each relevant constituent]</w:t>
            </w:r>
          </w:p>
        </w:tc>
        <w:tc>
          <w:tcPr>
            <w:tcW w:type="dxa" w:w="403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[Owner / action ID for gaps]</w:t>
            </w:r>
          </w:p>
        </w:tc>
      </w:tr>
    </w:tbl>
    <w:p>
      <w:pPr>
        <w:spacing w:after="0"/>
      </w:pPr>
      <w:r>
        <w:rPr>
          <w:b w:val="0"/>
        </w:rPr>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Formulation completeness</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[Reconcile the formulation with its specification; explain ranges, totals, proprietary mixtures and unidentified constituents]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Process and supplier controls</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[Which steps can add, remove or alter substances; acceptable ranges, change notifications and residual controls]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Aging and in-use changes</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[Potential degradation, evaporation, concentration changes, microbial concerns or interactions; evidence or planned assessment]</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Link to finished product</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[How this inventory maps to marketed lots, included variants and the representative articles in section 9]</w:t>
            </w:r>
          </w:p>
        </w:tc>
      </w:tr>
    </w:tbl>
    <w:p>
      <w:pPr>
        <w:spacing w:after="50"/>
      </w:pPr>
    </w:p>
    <w:p>
      <w:pPr>
        <w:pStyle w:val="Heading2"/>
      </w:pPr>
      <w:r>
        <w:t>Supplier evidence request</w:t>
      </w:r>
    </w:p>
    <w:p>
      <w:r>
        <w:rPr>
          <w:b w:val="0"/>
        </w:rPr>
        <w:t>For each gap, request the exact missing information and its revision: composition and permitted ranges; substrate additives; relevant impurities and residues; change-control arrangements; and supporting analytical or biological evidence with the tested formulation, article and method. Define who may access confidential records and how the evaluator’s conclusions will be recorded.</w:t>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Outstanding requests</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[Supplier / document needed / confidentiality route / action ID / owner / due date]</w:t>
            </w:r>
          </w:p>
        </w:tc>
      </w:tr>
    </w:tbl>
    <w:p>
      <w:pPr>
        <w:spacing w:after="50"/>
      </w:pPr>
    </w:p>
    <w:p>
      <w:pPr>
        <w:pStyle w:val="Sectionlabel"/>
      </w:pPr>
      <w:r>
        <w:t>SECTION 06</w:t>
      </w:r>
    </w:p>
    <w:p>
      <w:pPr>
        <w:pStyle w:val="Heading1"/>
      </w:pPr>
      <w:r>
        <w:rPr>
          <w:rFonts w:ascii="Georgia" w:hAnsi="Georgia" w:eastAsia="Georgia" w:cs="Georgia"/>
          <w:b/>
          <w:i w:val="0"/>
          <w:color w:val="0A2342"/>
          <w:sz w:val="38"/>
        </w:rPr>
        <w:t>Biological hazards and evaluation questions</w:t>
      </w:r>
    </w:p>
    <w:p>
      <w:r>
        <w:rPr>
          <w:b w:val="0"/>
        </w:rPr>
        <w:t>Identify biological hazards from the actual device and exposure profile. Use the applicable controlled standards and market guidance to identify every relevant biological effect and any device-specific question. Do not treat the two blank rows below as a complete endpoint list. [1, 4]</w:t>
      </w:r>
    </w:p>
    <w:tbl>
      <w:tblPr>
        <w:tblW w:type="auto" w:w="0"/>
        <w:jc w:val="center"/>
        <w:tblLayout w:type="fixed"/>
        <w:tblLook w:firstColumn="1" w:firstRow="1" w:lastColumn="0" w:lastRow="0" w:noHBand="0" w:noVBand="1" w:val="04A0"/>
      </w:tblPr>
      <w:tblGrid>
        <w:gridCol w:w="2448"/>
        <w:gridCol w:w="3456"/>
        <w:gridCol w:w="4176"/>
      </w:tblGrid>
      <w:tr>
        <w:trPr>
          <w:tblHeader/>
          <w:cantSplit/>
        </w:trPr>
        <w:tc>
          <w:tcPr>
            <w:tcW w:type="dxa" w:w="2448"/>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Question and pathway</w:t>
            </w:r>
          </w:p>
        </w:tc>
        <w:tc>
          <w:tcPr>
            <w:tcW w:type="dxa" w:w="3456"/>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Hazard and possible harm</w:t>
            </w:r>
          </w:p>
        </w:tc>
        <w:tc>
          <w:tcPr>
            <w:tcW w:type="dxa" w:w="4176"/>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Basis and planned route</w:t>
            </w:r>
          </w:p>
        </w:tc>
      </w:tr>
      <w:tr>
        <w:trPr>
          <w:cantSplit/>
        </w:trPr>
        <w:tc>
          <w:tcPr>
            <w:tcW w:type="dxa" w:w="2448"/>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[Q01 / Pxx]</w:t>
            </w:r>
          </w:p>
        </w:tc>
        <w:tc>
          <w:tcPr>
            <w:tcW w:type="dxa" w:w="3456"/>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[Substance or physical feature, exposure and potential biological harm]</w:t>
            </w:r>
          </w:p>
        </w:tc>
        <w:tc>
          <w:tcPr>
            <w:tcW w:type="dxa" w:w="4176"/>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[Applicable effect; source; evidence review, chemistry, toxicology, testing or rationale]</w:t>
            </w:r>
          </w:p>
        </w:tc>
      </w:tr>
      <w:tr>
        <w:trPr>
          <w:cantSplit/>
        </w:trPr>
        <w:tc>
          <w:tcPr>
            <w:tcW w:type="dxa" w:w="2448"/>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[Q02 / Pxx]</w:t>
            </w:r>
          </w:p>
        </w:tc>
        <w:tc>
          <w:tcPr>
            <w:tcW w:type="dxa" w:w="3456"/>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[Add all relevant questions]</w:t>
            </w:r>
          </w:p>
        </w:tc>
        <w:tc>
          <w:tcPr>
            <w:tcW w:type="dxa" w:w="4176"/>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[Risk-file ID and decision owner]</w:t>
            </w:r>
          </w:p>
        </w:tc>
      </w:tr>
    </w:tbl>
    <w:p>
      <w:pPr>
        <w:spacing w:after="0"/>
      </w:pPr>
      <w:r>
        <w:rPr>
          <w:b w:val="0"/>
        </w:rPr>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Coverage rationale</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[Show how the complete set of relevant effects and device-specific hazards was considered; justify any not-applicable determination]</w:t>
            </w:r>
          </w:p>
        </w:tc>
      </w:tr>
    </w:tbl>
    <w:p>
      <w:pPr>
        <w:spacing w:after="50"/>
      </w:pPr>
    </w:p>
    <w:p>
      <w:pPr>
        <w:pStyle w:val="Sectionlabel"/>
      </w:pPr>
      <w:r>
        <w:t>SECTION 07</w:t>
      </w:r>
    </w:p>
    <w:p>
      <w:pPr>
        <w:pStyle w:val="Heading1"/>
      </w:pPr>
      <w:r>
        <w:rPr>
          <w:rFonts w:ascii="Georgia" w:hAnsi="Georgia" w:eastAsia="Georgia" w:cs="Georgia"/>
          <w:b/>
          <w:i w:val="0"/>
          <w:color w:val="0A2342"/>
          <w:sz w:val="38"/>
        </w:rPr>
        <w:t>Existing evidence and applicability</w:t>
      </w:r>
    </w:p>
    <w:p>
      <w:r>
        <w:rPr>
          <w:b w:val="0"/>
        </w:rPr>
        <w:t>Record evidence you can actually inspect, including the relevant source page or result. A passed test, material history or similar product does not establish applicability without a comparison to this wipe, use state and pathway. [3, 4]</w:t>
      </w:r>
    </w:p>
    <w:tbl>
      <w:tblPr>
        <w:tblW w:type="auto" w:w="0"/>
        <w:jc w:val="center"/>
        <w:tblLayout w:type="fixed"/>
        <w:tblLook w:firstColumn="1" w:firstRow="1" w:lastColumn="0" w:lastRow="0" w:noHBand="0" w:noVBand="1" w:val="04A0"/>
      </w:tblPr>
      <w:tblGrid>
        <w:gridCol w:w="2880"/>
        <w:gridCol w:w="3024"/>
        <w:gridCol w:w="4176"/>
      </w:tblGrid>
      <w:tr>
        <w:trPr>
          <w:tblHeader/>
          <w:cantSplit/>
        </w:trPr>
        <w:tc>
          <w:tcPr>
            <w:tcW w:type="dxa" w:w="2880"/>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Evidence ID and record</w:t>
            </w:r>
          </w:p>
        </w:tc>
        <w:tc>
          <w:tcPr>
            <w:tcW w:type="dxa" w:w="3024"/>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What it supports</w:t>
            </w:r>
          </w:p>
        </w:tc>
        <w:tc>
          <w:tcPr>
            <w:tcW w:type="dxa" w:w="4176"/>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Applicability and limitation</w:t>
            </w:r>
          </w:p>
        </w:tc>
      </w:tr>
      <w:tr>
        <w:trPr>
          <w:cantSplit/>
        </w:trPr>
        <w:tc>
          <w:tcPr>
            <w:tcW w:type="dxa" w:w="2880"/>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[E01] Title, date, revision and source pages</w:t>
            </w:r>
          </w:p>
        </w:tc>
        <w:tc>
          <w:tcPr>
            <w:tcW w:type="dxa" w:w="3024"/>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[Qxx / tested article / method or finding]</w:t>
            </w:r>
          </w:p>
        </w:tc>
        <w:tc>
          <w:tcPr>
            <w:tcW w:type="dxa" w:w="4176"/>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[Matches and differences in composition, process, exposure, aging or market; unresolved gap]</w:t>
            </w:r>
          </w:p>
        </w:tc>
      </w:tr>
      <w:tr>
        <w:trPr>
          <w:cantSplit/>
        </w:trPr>
        <w:tc>
          <w:tcPr>
            <w:tcW w:type="dxa" w:w="2880"/>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[E02] Supplier / literature / prior test / clinical or post-market evidence</w:t>
            </w:r>
          </w:p>
        </w:tc>
        <w:tc>
          <w:tcPr>
            <w:tcW w:type="dxa" w:w="3024"/>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[Relevant question and result]</w:t>
            </w:r>
          </w:p>
        </w:tc>
        <w:tc>
          <w:tcPr>
            <w:tcW w:type="dxa" w:w="4176"/>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[Quality, access, limitations and review status]</w:t>
            </w:r>
          </w:p>
        </w:tc>
      </w:tr>
    </w:tbl>
    <w:p>
      <w:pPr>
        <w:spacing w:after="0"/>
      </w:pPr>
      <w:r>
        <w:rPr>
          <w:b w:val="0"/>
        </w:rPr>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Search and selection approach</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[Sources searched, search date, terms, inclusion logic and records retained for literature or public evidence]</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Evidence reuse rationale</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[Comparison with the current device and variants; differences that prevent or limit reuse; corroboration required]</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Evidence sufficiency decision</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[For each Q ID, identify the accepted evidence, remaining uncertainty and required action; reviewer and date]</w:t>
            </w:r>
          </w:p>
        </w:tc>
      </w:tr>
    </w:tbl>
    <w:p>
      <w:pPr>
        <w:spacing w:after="50"/>
      </w:pPr>
    </w:p>
    <w:p>
      <w:pPr>
        <w:pStyle w:val="Sectionlabel"/>
      </w:pPr>
      <w:r>
        <w:t>SECTION 08</w:t>
      </w:r>
    </w:p>
    <w:p>
      <w:pPr>
        <w:pStyle w:val="Heading1"/>
      </w:pPr>
      <w:r>
        <w:rPr>
          <w:rFonts w:ascii="Georgia" w:hAnsi="Georgia" w:eastAsia="Georgia" w:cs="Georgia"/>
          <w:b/>
          <w:i w:val="0"/>
          <w:color w:val="0A2342"/>
          <w:sz w:val="38"/>
        </w:rPr>
        <w:t>Chemistry and toxicological strategy</w:t>
      </w:r>
    </w:p>
    <w:p>
      <w:r>
        <w:rPr>
          <w:b w:val="0"/>
        </w:rPr>
        <w:t>Plan the chemical information needed to answer the retained exposure questions. Decide whether existing information is sufficient, what additional characterisation or transfer measurements are needed, and when a qualified toxicological assessment is required. Explain the rationale; do not automatically order the same study for every wipe. [3, 4]</w:t>
      </w:r>
    </w:p>
    <w:p>
      <w:pPr>
        <w:pStyle w:val="Heading2"/>
      </w:pPr>
      <w:r>
        <w:t>Source to exposure reasoning</w:t>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Substances and pathway</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[Link formulation, substrate, process or packaging sources to P IDs; address unidentified constituents and degradation products]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Transfer and persistence</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[How substances reach the patient or applicable user; mass or concentration, units, retention, removal and repeated-use assumptions]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Processed-device scenario</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[Wipe-to-device transfer, device area or fluid path, drying, rinsing, subsequent validated processing, cycles and resulting patient exposure]</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Evidence needed</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[Composition data, simulated-use transfer, extractables or other justified measurements; study purpose and question IDs]</w:t>
            </w:r>
          </w:p>
        </w:tc>
      </w:tr>
    </w:tbl>
    <w:p>
      <w:pPr>
        <w:spacing w:after="50"/>
      </w:pPr>
    </w:p>
    <w:p>
      <w:pPr>
        <w:pStyle w:val="Heading2"/>
      </w:pPr>
      <w:r>
        <w:t>Analytical study plan when justified</w:t>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Study design</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[Article, state and rationale; extraction or simulated-use conditions; methods, controls, recovery and relevant blanks]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Analytical adequacy</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[Detection / identification / quantification capability, treatment of unknowns, reporting thresholds and rationale for the biological question]</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Toxicological handoff</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[Substance identity, amount and units, analytical uncertainty, exposure route, frequency, duration, population and dose calculations supplied to assessor]</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Decision criteria and uncertainty</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[Predefined evaluation approach and sources; uncertainty factors or limitations determined by the qualified assessor; actions if information is insufficient]</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Responsibility and output</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[Study owner / analytical laboratory / qualified assessor / deliverable IDs / target date]</w:t>
            </w:r>
          </w:p>
        </w:tc>
      </w:tr>
    </w:tbl>
    <w:p>
      <w:pPr>
        <w:spacing w:after="50"/>
      </w:pPr>
    </w:p>
    <w:p>
      <w:r>
        <w:rPr>
          <w:b w:val="0"/>
          <w:sz w:val="21"/>
        </w:rPr>
        <w:t>Do not assume evaporation removes non-volatile residue or that chemical identification alone resolves every biological effect. Record why the chosen approach addresses the relevant question and what remains for other evidence routes.</w:t>
      </w:r>
    </w:p>
    <w:p>
      <w:pPr>
        <w:pStyle w:val="Sectionlabel"/>
      </w:pPr>
      <w:r>
        <w:t>PHASE 02 CHECKPOINT</w:t>
      </w:r>
    </w:p>
    <w:tbl>
      <w:tblPr>
        <w:tblW w:type="dxa" w:w="9634"/>
        <w:jc w:val="center"/>
        <w:tblLayout w:type="fixed"/>
        <w:tblLook w:firstColumn="1" w:firstRow="1" w:lastColumn="0" w:lastRow="0" w:noHBand="0" w:noVBand="1" w:val="04A0"/>
      </w:tblPr>
      <w:tblGrid>
        <w:gridCol w:w="720"/>
        <w:gridCol w:w="8914"/>
      </w:tblGrid>
      <w:tr>
        <w:trPr>
          <w:cantSplit/>
        </w:trPr>
        <w:tc>
          <w:tcPr>
            <w:tcW w:type="dxa" w:w="720"/>
            <w:shd w:fill="E9F7F5"/>
            <w:tcMar>
              <w:top w:w="85" w:type="dxa"/>
              <w:start w:w="100" w:type="dxa"/>
              <w:bottom w:w="85" w:type="dxa"/>
              <w:end w:w="10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3"/>
              </w:rPr>
              <w:t>☐</w:t>
            </w:r>
          </w:p>
        </w:tc>
        <w:tc>
          <w:tcPr>
            <w:tcW w:type="dxa" w:w="8914"/>
            <w:shd w:fill="F8FAFC"/>
            <w:tcMar>
              <w:top w:w="85" w:type="dxa"/>
              <w:start w:w="130" w:type="dxa"/>
              <w:bottom w:w="85" w:type="dxa"/>
              <w:end w:w="130"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val="0"/>
                <w:i w:val="0"/>
                <w:color w:val="1E2A36"/>
                <w:sz w:val="18"/>
              </w:rPr>
              <w:t>Materials and process inputs are traceable to controlled records.</w:t>
            </w:r>
          </w:p>
        </w:tc>
      </w:tr>
      <w:tr>
        <w:trPr>
          <w:cantSplit/>
        </w:trPr>
        <w:tc>
          <w:tcPr>
            <w:tcW w:type="dxa" w:w="720"/>
            <w:shd w:fill="E9F7F5"/>
            <w:tcMar>
              <w:top w:w="85" w:type="dxa"/>
              <w:start w:w="100" w:type="dxa"/>
              <w:bottom w:w="85" w:type="dxa"/>
              <w:end w:w="10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3"/>
              </w:rPr>
              <w:t>☐</w:t>
            </w:r>
          </w:p>
        </w:tc>
        <w:tc>
          <w:tcPr>
            <w:tcW w:type="dxa" w:w="8914"/>
            <w:shd w:fill="FFFFFF"/>
            <w:tcMar>
              <w:top w:w="85" w:type="dxa"/>
              <w:start w:w="130" w:type="dxa"/>
              <w:bottom w:w="85" w:type="dxa"/>
              <w:end w:w="130"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val="0"/>
                <w:i w:val="0"/>
                <w:color w:val="1E2A36"/>
                <w:sz w:val="18"/>
              </w:rPr>
              <w:t>Each biological question has an evidence route or an open action.</w:t>
            </w:r>
          </w:p>
        </w:tc>
      </w:tr>
      <w:tr>
        <w:trPr>
          <w:cantSplit/>
        </w:trPr>
        <w:tc>
          <w:tcPr>
            <w:tcW w:type="dxa" w:w="720"/>
            <w:shd w:fill="E9F7F5"/>
            <w:tcMar>
              <w:top w:w="85" w:type="dxa"/>
              <w:start w:w="100" w:type="dxa"/>
              <w:bottom w:w="85" w:type="dxa"/>
              <w:end w:w="10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3"/>
              </w:rPr>
              <w:t>☐</w:t>
            </w:r>
          </w:p>
        </w:tc>
        <w:tc>
          <w:tcPr>
            <w:tcW w:type="dxa" w:w="8914"/>
            <w:shd w:fill="F8FAFC"/>
            <w:tcMar>
              <w:top w:w="85" w:type="dxa"/>
              <w:start w:w="130" w:type="dxa"/>
              <w:bottom w:w="85" w:type="dxa"/>
              <w:end w:w="130"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val="0"/>
                <w:i w:val="0"/>
                <w:color w:val="1E2A36"/>
                <w:sz w:val="18"/>
              </w:rPr>
              <w:t>Chemistry and toxicology handoff inputs, units and uncertainty are defined.</w:t>
            </w:r>
          </w:p>
        </w:tc>
      </w:tr>
    </w:tbl>
    <w:p>
      <w:pPr>
        <w:pStyle w:val="Sectionlabel"/>
      </w:pPr>
      <w:r>
        <w:t>SECTION 09</w:t>
      </w:r>
    </w:p>
    <w:p>
      <w:pPr>
        <w:pStyle w:val="Heading1"/>
      </w:pPr>
      <w:r>
        <w:rPr>
          <w:rFonts w:ascii="Georgia" w:hAnsi="Georgia" w:eastAsia="Georgia" w:cs="Georgia"/>
          <w:b/>
          <w:i w:val="0"/>
          <w:color w:val="0A2342"/>
          <w:sz w:val="38"/>
        </w:rPr>
        <w:t>Testing and justification of the selected article</w:t>
      </w:r>
    </w:p>
    <w:p>
      <w:r>
        <w:rPr>
          <w:b w:val="0"/>
        </w:rPr>
        <w:t>Complete one decision record per evaluation question or justified group of related questions. A decision to use existing evidence instead of new testing needs its own explicit rationale. Plan evidence generation before work starts; record actual results and the integrated conclusions in the later BER. [4]</w:t>
      </w:r>
    </w:p>
    <w:tbl>
      <w:tblPr>
        <w:tblW w:type="auto" w:w="0"/>
        <w:jc w:val="center"/>
        <w:tblLayout w:type="fixed"/>
        <w:tblLook w:firstColumn="1" w:firstRow="1" w:lastColumn="0" w:lastRow="0" w:noHBand="0" w:noVBand="1" w:val="04A0"/>
      </w:tblPr>
      <w:tblGrid>
        <w:gridCol w:w="1512"/>
        <w:gridCol w:w="5472"/>
        <w:gridCol w:w="3096"/>
      </w:tblGrid>
      <w:tr>
        <w:trPr>
          <w:tblHeader/>
          <w:cantSplit/>
        </w:trPr>
        <w:tc>
          <w:tcPr>
            <w:tcW w:type="dxa" w:w="1512"/>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Question</w:t>
            </w:r>
          </w:p>
        </w:tc>
        <w:tc>
          <w:tcPr>
            <w:tcW w:type="dxa" w:w="5472"/>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Evidence route and reason</w:t>
            </w:r>
          </w:p>
        </w:tc>
        <w:tc>
          <w:tcPr>
            <w:tcW w:type="dxa" w:w="3096"/>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Output and owner</w:t>
            </w:r>
          </w:p>
        </w:tc>
      </w:tr>
      <w:tr>
        <w:trPr>
          <w:cantSplit/>
        </w:trPr>
        <w:tc>
          <w:tcPr>
            <w:tcW w:type="dxa" w:w="151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[Qxx]</w:t>
            </w:r>
          </w:p>
        </w:tc>
        <w:tc>
          <w:tcPr>
            <w:tcW w:type="dxa" w:w="547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[Existing evidence / additional information / analysis / testing; why it resolves the question]</w:t>
            </w:r>
          </w:p>
        </w:tc>
        <w:tc>
          <w:tcPr>
            <w:tcW w:type="dxa" w:w="3096"/>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[Record or protocol ID / owner / date]</w:t>
            </w:r>
          </w:p>
        </w:tc>
      </w:tr>
      <w:tr>
        <w:trPr>
          <w:cantSplit/>
        </w:trPr>
        <w:tc>
          <w:tcPr>
            <w:tcW w:type="dxa" w:w="1512"/>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[Qxx]</w:t>
            </w:r>
          </w:p>
        </w:tc>
        <w:tc>
          <w:tcPr>
            <w:tcW w:type="dxa" w:w="5472"/>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[Include unresolved questions; do not mark them complete]</w:t>
            </w:r>
          </w:p>
        </w:tc>
        <w:tc>
          <w:tcPr>
            <w:tcW w:type="dxa" w:w="3096"/>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[Action ID / owner / date]</w:t>
            </w:r>
          </w:p>
        </w:tc>
      </w:tr>
    </w:tbl>
    <w:p>
      <w:pPr>
        <w:spacing w:after="0"/>
      </w:pPr>
      <w:r>
        <w:rPr>
          <w:b w:val="0"/>
        </w:rPr>
      </w:r>
    </w:p>
    <w:p>
      <w:pPr>
        <w:pStyle w:val="Heading2"/>
      </w:pPr>
      <w:r>
        <w:t>Test article and method record</w:t>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Article identity</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[Wipe or processed device; model, batch, formulation revision, loading, quantity and traceability]</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Representative state</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[Processing, sterilisation if relevant, packaging, aging, opened condition, use or reprocessing cycles; worst-case rationale]</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Variant coverage</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[Which variants this article represents, comparison basis, exclusions and extra articles needed for different worst cases]</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Method and preparation</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[Method / standard edition, biological question, sample preparation, extraction if used, controls and deviations requiring justification]</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Protocol and criteria</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[Laboratory scope and relevant competence, reviewed protocol, acceptance criteria and their basis before testing]</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Unsatisfactory or ambiguous result</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[Investigation, validity checks, risk reassessment and approval steps; no selective omission of adverse results]</w:t>
            </w:r>
          </w:p>
        </w:tc>
      </w:tr>
    </w:tbl>
    <w:p>
      <w:pPr>
        <w:spacing w:after="50"/>
      </w:pPr>
    </w:p>
    <w:p>
      <w:pPr>
        <w:pStyle w:val="Heading2"/>
      </w:pPr>
      <w:r>
        <w:t>Rationale for no additional testing when proposed</w:t>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Question and supporting records</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[Q ID and exact E IDs, applicable standard / guidance and relevant evidence]</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Scientific justification</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[Explain applicability to the finished system, exposure and all represented variants; address limitations and contrary evidence]</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Residual uncertainty and approval</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[Why remaining uncertainty is acceptable or what further work is needed; qualified reviewer and decision date]</w:t>
            </w:r>
          </w:p>
        </w:tc>
      </w:tr>
    </w:tbl>
    <w:p>
      <w:pPr>
        <w:spacing w:after="50"/>
      </w:pPr>
    </w:p>
    <w:p>
      <w:pPr>
        <w:pStyle w:val="Sectionlabel"/>
      </w:pPr>
      <w:r>
        <w:t>SECTION 10</w:t>
      </w:r>
    </w:p>
    <w:p>
      <w:pPr>
        <w:pStyle w:val="Heading1"/>
      </w:pPr>
      <w:r>
        <w:rPr>
          <w:rFonts w:ascii="Georgia" w:hAnsi="Georgia" w:eastAsia="Georgia" w:cs="Georgia"/>
          <w:b/>
          <w:i w:val="0"/>
          <w:color w:val="0A2342"/>
          <w:sz w:val="38"/>
        </w:rPr>
        <w:t>Risk management traceability and completion</w:t>
      </w:r>
    </w:p>
    <w:p>
      <w:r>
        <w:rPr>
          <w:b w:val="0"/>
        </w:rPr>
        <w:t>Connect each question to the risk management file, the evidence needed and the eventual BER. Keep a proposed action separate from completed evidence. Biological safety, cleaning or disinfection efficacy, and material compatibility require distinct conclusions even where studies inform more than one question. [4, 5]</w:t>
      </w:r>
    </w:p>
    <w:tbl>
      <w:tblPr>
        <w:tblW w:type="auto" w:w="0"/>
        <w:jc w:val="center"/>
        <w:tblLayout w:type="fixed"/>
        <w:tblLook w:firstColumn="1" w:firstRow="1" w:lastColumn="0" w:lastRow="0" w:noHBand="0" w:noVBand="1" w:val="04A0"/>
      </w:tblPr>
      <w:tblGrid>
        <w:gridCol w:w="2016"/>
        <w:gridCol w:w="3168"/>
        <w:gridCol w:w="1944"/>
        <w:gridCol w:w="2952"/>
      </w:tblGrid>
      <w:tr>
        <w:trPr>
          <w:tblHeader/>
          <w:cantSplit/>
        </w:trPr>
        <w:tc>
          <w:tcPr>
            <w:tcW w:type="dxa" w:w="2016"/>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Question and risk</w:t>
            </w:r>
          </w:p>
        </w:tc>
        <w:tc>
          <w:tcPr>
            <w:tcW w:type="dxa" w:w="3168"/>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Action or control</w:t>
            </w:r>
          </w:p>
        </w:tc>
        <w:tc>
          <w:tcPr>
            <w:tcW w:type="dxa" w:w="1944"/>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Owner and due date</w:t>
            </w:r>
          </w:p>
        </w:tc>
        <w:tc>
          <w:tcPr>
            <w:tcW w:type="dxa" w:w="2952"/>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Closure evidence</w:t>
            </w:r>
          </w:p>
        </w:tc>
      </w:tr>
      <w:tr>
        <w:trPr>
          <w:cantSplit/>
        </w:trPr>
        <w:tc>
          <w:tcPr>
            <w:tcW w:type="dxa" w:w="2016"/>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[Qxx / risk ID]</w:t>
            </w:r>
          </w:p>
        </w:tc>
        <w:tc>
          <w:tcPr>
            <w:tcW w:type="dxa" w:w="3168"/>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[Action; required output; acceptance criterion]</w:t>
            </w:r>
          </w:p>
        </w:tc>
        <w:tc>
          <w:tcPr>
            <w:tcW w:type="dxa" w:w="1944"/>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[Name / date]</w:t>
            </w:r>
          </w:p>
        </w:tc>
        <w:tc>
          <w:tcPr>
            <w:tcW w:type="dxa" w:w="2952"/>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[Pending; later E ID and BER section]</w:t>
            </w:r>
          </w:p>
        </w:tc>
      </w:tr>
      <w:tr>
        <w:trPr>
          <w:cantSplit/>
        </w:trPr>
        <w:tc>
          <w:tcPr>
            <w:tcW w:type="dxa" w:w="2016"/>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[Qxx / risk ID]</w:t>
            </w:r>
          </w:p>
        </w:tc>
        <w:tc>
          <w:tcPr>
            <w:tcW w:type="dxa" w:w="3168"/>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[Additional rows as required]</w:t>
            </w:r>
          </w:p>
        </w:tc>
        <w:tc>
          <w:tcPr>
            <w:tcW w:type="dxa" w:w="1944"/>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[Name / date]</w:t>
            </w:r>
          </w:p>
        </w:tc>
        <w:tc>
          <w:tcPr>
            <w:tcW w:type="dxa" w:w="2952"/>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[Decision / reviewer / date]</w:t>
            </w:r>
          </w:p>
        </w:tc>
      </w:tr>
    </w:tbl>
    <w:p>
      <w:pPr>
        <w:spacing w:after="0"/>
      </w:pPr>
      <w:r>
        <w:rPr>
          <w:b w:val="0"/>
        </w:rPr>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Completion criteria</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[All relevant questions resolved with adequate evidence; deviations investigated; risk conclusions reviewed; remaining actions and restrictions documented]</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BER responsibility</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[Author and reviewer; intended document ID and schedule; integration of results, limitations and overall biological safety conclusion]</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Plan review decision</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[Approved / revise / on hold; reasons, prerequisites and approval record. Do not prefill a safety conclusion]</w:t>
            </w:r>
          </w:p>
        </w:tc>
      </w:tr>
    </w:tbl>
    <w:p>
      <w:pPr>
        <w:spacing w:after="50"/>
      </w:pPr>
    </w:p>
    <w:p>
      <w:pPr>
        <w:pStyle w:val="Sectionlabel"/>
      </w:pPr>
      <w:r>
        <w:t>SECTION 11</w:t>
      </w:r>
    </w:p>
    <w:p>
      <w:pPr>
        <w:pStyle w:val="Heading1"/>
      </w:pPr>
      <w:r>
        <w:rPr>
          <w:rFonts w:ascii="Georgia" w:hAnsi="Georgia" w:eastAsia="Georgia" w:cs="Georgia"/>
          <w:b/>
          <w:i w:val="0"/>
          <w:color w:val="0A2342"/>
          <w:sz w:val="38"/>
        </w:rPr>
        <w:t>Lifecycle changes and reevaluation</w:t>
      </w:r>
    </w:p>
    <w:p>
      <w:r>
        <w:rPr>
          <w:b w:val="0"/>
        </w:rPr>
        <w:t>Use the triggers below as a starting point. Define who receives each change, assesses its biological relevance and decides whether the BEP, supporting evidence or BER needs updating.</w:t>
      </w:r>
    </w:p>
    <w:tbl>
      <w:tblPr>
        <w:tblW w:type="auto" w:w="0"/>
        <w:jc w:val="center"/>
        <w:tblLayout w:type="fixed"/>
        <w:tblLook w:firstColumn="1" w:firstRow="1" w:lastColumn="0" w:lastRow="0" w:noHBand="0" w:noVBand="1" w:val="04A0"/>
      </w:tblPr>
      <w:tblGrid>
        <w:gridCol w:w="3456"/>
        <w:gridCol w:w="6624"/>
      </w:tblGrid>
      <w:tr>
        <w:trPr>
          <w:tblHeader/>
          <w:cantSplit/>
        </w:trPr>
        <w:tc>
          <w:tcPr>
            <w:tcW w:type="dxa" w:w="3456"/>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Change trigger</w:t>
            </w:r>
          </w:p>
        </w:tc>
        <w:tc>
          <w:tcPr>
            <w:tcW w:type="dxa" w:w="6624"/>
            <w:vAlign w:val="center"/>
            <w:shd w:fill="0A2342"/>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i w:val="0"/>
                <w:color w:val="FFFFFF"/>
                <w:sz w:val="18"/>
              </w:rPr>
              <w:t>Assessment and responsibility</w:t>
            </w:r>
          </w:p>
        </w:tc>
      </w:tr>
      <w:tr>
        <w:trPr>
          <w:cantSplit/>
        </w:trPr>
        <w:tc>
          <w:tcPr>
            <w:tcW w:type="dxa" w:w="3456"/>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Formulation substrate or supplier</w:t>
            </w:r>
          </w:p>
        </w:tc>
        <w:tc>
          <w:tcPr>
            <w:tcW w:type="dxa" w:w="6624"/>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[Impact on composition, impurities, loading and exposure; owner]</w:t>
            </w:r>
          </w:p>
        </w:tc>
      </w:tr>
      <w:tr>
        <w:trPr>
          <w:cantSplit/>
        </w:trPr>
        <w:tc>
          <w:tcPr>
            <w:tcW w:type="dxa" w:w="3456"/>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Manufacturing packaging or shelf life</w:t>
            </w:r>
          </w:p>
        </w:tc>
        <w:tc>
          <w:tcPr>
            <w:tcW w:type="dxa" w:w="6624"/>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[Residuals, interactions, aging, sterilisation and representative state; owner]</w:t>
            </w:r>
          </w:p>
        </w:tc>
      </w:tr>
      <w:tr>
        <w:trPr>
          <w:cantSplit/>
        </w:trPr>
        <w:tc>
          <w:tcPr>
            <w:tcW w:type="dxa" w:w="3456"/>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Claims use instructions or contact</w:t>
            </w:r>
          </w:p>
        </w:tc>
        <w:tc>
          <w:tcPr>
            <w:tcW w:type="dxa" w:w="6624"/>
            <w:vAlign w:val="center"/>
            <w:shd w:fill="FFFFFF"/>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[Population, frequency, duration, residue route or reprocessing sequence; owner]</w:t>
            </w:r>
          </w:p>
        </w:tc>
      </w:tr>
      <w:tr>
        <w:trPr>
          <w:cantSplit/>
        </w:trPr>
        <w:tc>
          <w:tcPr>
            <w:tcW w:type="dxa" w:w="3456"/>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New evidence or requirements</w:t>
            </w:r>
          </w:p>
        </w:tc>
        <w:tc>
          <w:tcPr>
            <w:tcW w:type="dxa" w:w="6624"/>
            <w:vAlign w:val="center"/>
            <w:shd w:fill="EDF2FB"/>
            <w:tcMar>
              <w:top w:w="115" w:type="dxa"/>
              <w:start w:w="120" w:type="dxa"/>
              <w:bottom w:w="115" w:type="dxa"/>
              <w:end w:w="120" w:type="dxa"/>
            </w:tcMar>
            <w:tcBorders>
              <w:top w:val="single" w:sz="5" w:color="D9DEE5" w:space="0"/>
              <w:left w:val="single" w:sz="5" w:color="D9DEE5" w:space="0"/>
              <w:bottom w:val="single" w:sz="5" w:color="D9DEE5" w:space="0"/>
              <w:right w:val="single" w:sz="5" w:color="D9DEE5" w:space="0"/>
            </w:tcBorders>
          </w:tcPr>
          <w:p>
            <w:pPr>
              <w:spacing w:after="0" w:line="259" w:lineRule="auto" w:before="0"/>
            </w:pPr>
            <w:r>
              <w:rPr>
                <w:rFonts w:ascii="Arial" w:hAnsi="Arial" w:eastAsia="Arial" w:cs="Arial"/>
                <w:b w:val="0"/>
                <w:i w:val="0"/>
                <w:color w:val="1E2A36"/>
                <w:sz w:val="18"/>
              </w:rPr>
              <w:t>[Complaints, adverse findings, new studies, standards or market controls; owner]</w:t>
            </w:r>
          </w:p>
        </w:tc>
      </w:tr>
    </w:tbl>
    <w:p>
      <w:pPr>
        <w:spacing w:after="0"/>
      </w:pPr>
      <w:r>
        <w:rPr>
          <w:b w:val="0"/>
        </w:rPr>
      </w: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Review mechanism</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[Change-control link, periodic review approach, information sources, owner, and next review date or event]</w:t>
            </w:r>
          </w:p>
        </w:tc>
      </w:tr>
    </w:tbl>
    <w:p>
      <w:pPr>
        <w:spacing w:after="50"/>
      </w:pPr>
    </w:p>
    <w:tbl>
      <w:tblPr>
        <w:tblW w:type="dxa" w:w="9634"/>
        <w:jc w:val="center"/>
        <w:tblLayout w:type="fixed"/>
        <w:tblLook w:firstColumn="1" w:firstRow="1" w:lastColumn="0" w:lastRow="0" w:noHBand="0" w:noVBand="1" w:val="04A0"/>
      </w:tblPr>
      <w:tblGrid>
        <w:gridCol w:w="7488"/>
        <w:gridCol w:w="2146"/>
      </w:tblGrid>
      <w:tr>
        <w:trPr>
          <w:cantSplit/>
        </w:trPr>
        <w:tc>
          <w:tcPr>
            <w:tcW w:type="dxa" w:w="7488"/>
            <w:shd w:fill="EDF2FB"/>
            <w:tcMar>
              <w:top w:w="85" w:type="dxa"/>
              <w:start w:w="130" w:type="dxa"/>
              <w:bottom w:w="78" w:type="dxa"/>
              <w:end w:w="130" w:type="dxa"/>
            </w:tcMar>
            <w:tcBorders>
              <w:top w:val="single" w:sz="5" w:color="D9DEE5" w:space="0"/>
              <w:left w:val="single" w:sz="16" w:color="00B4A6" w:space="0"/>
              <w:bottom w:val="single" w:sz="5" w:color="D9DEE5" w:space="0"/>
              <w:right w:val="single" w:sz="5" w:color="D9DEE5" w:space="0"/>
            </w:tcBorders>
            <w:vAlign w:val="center"/>
          </w:tcPr>
          <w:p>
            <w:pPr>
              <w:keepNext/>
              <w:spacing w:after="0"/>
            </w:pPr>
            <w:r>
              <w:rPr>
                <w:rFonts w:ascii="Arial" w:hAnsi="Arial" w:eastAsia="Arial" w:cs="Arial"/>
                <w:b/>
                <w:i w:val="0"/>
                <w:color w:val="0A2342"/>
                <w:sz w:val="19"/>
              </w:rPr>
              <w:t>Revision history</w:t>
            </w:r>
          </w:p>
        </w:tc>
        <w:tc>
          <w:tcPr>
            <w:tcW w:type="dxa" w:w="2146"/>
            <w:shd w:fill="EDF2FB"/>
            <w:tcMar>
              <w:top w:w="85" w:type="dxa"/>
              <w:start w:w="130" w:type="dxa"/>
              <w:bottom w:w="78" w:type="dxa"/>
              <w:end w:w="130" w:type="dxa"/>
            </w:tcMar>
            <w:tcBorders>
              <w:top w:val="single" w:sz="5" w:color="D9DEE5" w:space="0"/>
              <w:left w:val="single" w:sz="5" w:color="D9DEE5" w:space="0"/>
              <w:bottom w:val="single" w:sz="5" w:color="D9DEE5" w:space="0"/>
              <w:right w:val="single" w:sz="5" w:color="D9DEE5" w:space="0"/>
            </w:tcBorders>
            <w:vAlign w:val="center"/>
          </w:tcPr>
          <w:p>
            <w:pPr>
              <w:keepNext/>
              <w:spacing w:after="0"/>
              <w:jc w:val="right"/>
            </w:pPr>
            <w:r>
              <w:rPr>
                <w:rFonts w:ascii="Arial" w:hAnsi="Arial" w:eastAsia="Arial" w:cs="Arial"/>
                <w:b/>
                <w:i w:val="0"/>
                <w:color w:val="0B7F76"/>
                <w:sz w:val="14"/>
              </w:rPr>
              <w:t>WORKING ENTRY</w:t>
            </w:r>
          </w:p>
        </w:tc>
      </w:tr>
      <w:tr>
        <w:trPr>
          <w:trHeight w:val="1037" w:hRule="atLeast"/>
          <w:cantSplit/>
        </w:trPr>
        <w:tc>
          <w:tcPr>
            <w:tcW w:type="dxa" w:w="9634"/>
            <w:gridSpan w:val="2"/>
            <w:shd w:fill="FFFFFF"/>
            <w:tcMar>
              <w:top w:w="110" w:type="dxa"/>
              <w:start w:w="145" w:type="dxa"/>
              <w:bottom w:w="230" w:type="dxa"/>
              <w:end w:w="145" w:type="dxa"/>
            </w:tcMar>
            <w:tcBorders>
              <w:top w:val="single" w:sz="5" w:color="D9DEE5" w:space="0"/>
              <w:left w:val="single" w:sz="5" w:color="D9DEE5" w:space="0"/>
              <w:bottom w:val="single" w:sz="5" w:color="D9DEE5" w:space="0"/>
              <w:right w:val="single" w:sz="5" w:color="D9DEE5" w:space="0"/>
            </w:tcBorders>
            <w:vAlign w:val="top"/>
          </w:tcPr>
          <w:p>
            <w:pPr>
              <w:spacing w:after="0" w:line="269" w:lineRule="auto"/>
            </w:pPr>
            <w:r>
              <w:rPr>
                <w:rFonts w:ascii="Arial" w:hAnsi="Arial" w:eastAsia="Arial" w:cs="Arial"/>
                <w:b w:val="0"/>
                <w:i/>
                <w:color w:val="5F6B7A"/>
                <w:sz w:val="19"/>
              </w:rPr>
              <w:t>[Working-copy revision / date / reason / affected questions and evidence / approver]</w:t>
            </w:r>
          </w:p>
        </w:tc>
      </w:tr>
    </w:tbl>
    <w:p>
      <w:pPr>
        <w:spacing w:after="50"/>
      </w:pPr>
    </w:p>
    <w:p>
      <w:pPr>
        <w:pStyle w:val="Sectionlabel"/>
      </w:pPr>
      <w:r>
        <w:t>PHASE 03 CHECKPOINT</w:t>
      </w:r>
    </w:p>
    <w:tbl>
      <w:tblPr>
        <w:tblW w:type="dxa" w:w="9634"/>
        <w:jc w:val="center"/>
        <w:tblLayout w:type="fixed"/>
        <w:tblLook w:firstColumn="1" w:firstRow="1" w:lastColumn="0" w:lastRow="0" w:noHBand="0" w:noVBand="1" w:val="04A0"/>
      </w:tblPr>
      <w:tblGrid>
        <w:gridCol w:w="720"/>
        <w:gridCol w:w="8914"/>
      </w:tblGrid>
      <w:tr>
        <w:trPr>
          <w:cantSplit/>
        </w:trPr>
        <w:tc>
          <w:tcPr>
            <w:tcW w:type="dxa" w:w="720"/>
            <w:shd w:fill="E9F7F5"/>
            <w:tcMar>
              <w:top w:w="85" w:type="dxa"/>
              <w:start w:w="100" w:type="dxa"/>
              <w:bottom w:w="85" w:type="dxa"/>
              <w:end w:w="10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3"/>
              </w:rPr>
              <w:t>☐</w:t>
            </w:r>
          </w:p>
        </w:tc>
        <w:tc>
          <w:tcPr>
            <w:tcW w:type="dxa" w:w="8914"/>
            <w:shd w:fill="F8FAFC"/>
            <w:tcMar>
              <w:top w:w="85" w:type="dxa"/>
              <w:start w:w="130" w:type="dxa"/>
              <w:bottom w:w="85" w:type="dxa"/>
              <w:end w:w="130"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val="0"/>
                <w:i w:val="0"/>
                <w:color w:val="1E2A36"/>
                <w:sz w:val="18"/>
              </w:rPr>
              <w:t>Testing and no-additional-testing decisions identify their evidence and reviewers.</w:t>
            </w:r>
          </w:p>
        </w:tc>
      </w:tr>
      <w:tr>
        <w:trPr>
          <w:cantSplit/>
        </w:trPr>
        <w:tc>
          <w:tcPr>
            <w:tcW w:type="dxa" w:w="720"/>
            <w:shd w:fill="E9F7F5"/>
            <w:tcMar>
              <w:top w:w="85" w:type="dxa"/>
              <w:start w:w="100" w:type="dxa"/>
              <w:bottom w:w="85" w:type="dxa"/>
              <w:end w:w="10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3"/>
              </w:rPr>
              <w:t>☐</w:t>
            </w:r>
          </w:p>
        </w:tc>
        <w:tc>
          <w:tcPr>
            <w:tcW w:type="dxa" w:w="8914"/>
            <w:shd w:fill="FFFFFF"/>
            <w:tcMar>
              <w:top w:w="85" w:type="dxa"/>
              <w:start w:w="130" w:type="dxa"/>
              <w:bottom w:w="85" w:type="dxa"/>
              <w:end w:w="130"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val="0"/>
                <w:i w:val="0"/>
                <w:color w:val="1E2A36"/>
                <w:sz w:val="18"/>
              </w:rPr>
              <w:t>Risk controls, owners, due dates and closure evidence are linked.</w:t>
            </w:r>
          </w:p>
        </w:tc>
      </w:tr>
      <w:tr>
        <w:trPr>
          <w:cantSplit/>
        </w:trPr>
        <w:tc>
          <w:tcPr>
            <w:tcW w:type="dxa" w:w="720"/>
            <w:shd w:fill="E9F7F5"/>
            <w:tcMar>
              <w:top w:w="85" w:type="dxa"/>
              <w:start w:w="100" w:type="dxa"/>
              <w:bottom w:w="85" w:type="dxa"/>
              <w:end w:w="10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3"/>
              </w:rPr>
              <w:t>☐</w:t>
            </w:r>
          </w:p>
        </w:tc>
        <w:tc>
          <w:tcPr>
            <w:tcW w:type="dxa" w:w="8914"/>
            <w:shd w:fill="F8FAFC"/>
            <w:tcMar>
              <w:top w:w="85" w:type="dxa"/>
              <w:start w:w="130" w:type="dxa"/>
              <w:bottom w:w="85" w:type="dxa"/>
              <w:end w:w="130"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val="0"/>
                <w:i w:val="0"/>
                <w:color w:val="1E2A36"/>
                <w:sz w:val="18"/>
              </w:rPr>
              <w:t>Lifecycle triggers and the review mechanism are recorded.</w:t>
            </w:r>
          </w:p>
        </w:tc>
      </w:tr>
    </w:tbl>
    <w:p>
      <w:pPr>
        <w:pStyle w:val="Heading1"/>
        <w:keepNext/>
      </w:pPr>
      <w:r>
        <w:t>Before issuing your completed plan</w:t>
      </w:r>
    </w:p>
    <w:p>
      <w:pPr>
        <w:keepNext/>
      </w:pPr>
      <w:r>
        <w:rPr>
          <w:b w:val="0"/>
        </w:rPr>
        <w:t>Use this final check after completing the 11 sections. Keep outstanding issues visible rather than converting an unknown into a favourable conclusion.</w:t>
      </w:r>
    </w:p>
    <w:tbl>
      <w:tblPr>
        <w:tblW w:type="dxa" w:w="9634"/>
        <w:jc w:val="center"/>
        <w:tblLayout w:type="fixed"/>
        <w:tblLook w:firstColumn="1" w:firstRow="1" w:lastColumn="0" w:lastRow="0" w:noHBand="0" w:noVBand="1" w:val="04A0"/>
      </w:tblPr>
      <w:tblGrid>
        <w:gridCol w:w="691"/>
        <w:gridCol w:w="8942"/>
      </w:tblGrid>
      <w:tr>
        <w:trPr>
          <w:cantSplit/>
        </w:trPr>
        <w:tc>
          <w:tcPr>
            <w:tcW w:type="dxa" w:w="691"/>
            <w:shd w:fill="E9F7F5"/>
            <w:tcMar>
              <w:top w:w="115" w:type="dxa"/>
              <w:start w:w="110" w:type="dxa"/>
              <w:bottom w:w="115" w:type="dxa"/>
              <w:end w:w="11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6"/>
              </w:rPr>
              <w:t>☐</w:t>
            </w:r>
          </w:p>
        </w:tc>
        <w:tc>
          <w:tcPr>
            <w:tcW w:type="dxa" w:w="8942"/>
            <w:shd w:fill="F8FAFC"/>
            <w:tcMar>
              <w:top w:w="115" w:type="dxa"/>
              <w:start w:w="135" w:type="dxa"/>
              <w:bottom w:w="115" w:type="dxa"/>
              <w:end w:w="135" w:type="dxa"/>
            </w:tcMar>
            <w:tcBorders>
              <w:top w:val="single" w:sz="5" w:color="D9DEE5" w:space="0"/>
              <w:left w:val="single" w:sz="5" w:color="D9DEE5" w:space="0"/>
              <w:bottom w:val="single" w:sz="5" w:color="D9DEE5" w:space="0"/>
              <w:right w:val="single" w:sz="5" w:color="D9DEE5" w:space="0"/>
            </w:tcBorders>
          </w:tcPr>
          <w:p>
            <w:pPr>
              <w:spacing w:after="0" w:line="264" w:lineRule="auto"/>
            </w:pPr>
            <w:r>
              <w:rPr>
                <w:rFonts w:ascii="Arial" w:hAnsi="Arial" w:eastAsia="Arial" w:cs="Arial"/>
                <w:b w:val="0"/>
                <w:i w:val="0"/>
                <w:color w:val="1E2A36"/>
                <w:sz w:val="19"/>
              </w:rPr>
              <w:t>The product determination and market-specific basis are documented; all relevant patient and user pathways have been assessed under the correct framework.</w:t>
            </w:r>
          </w:p>
        </w:tc>
      </w:tr>
    </w:tbl>
    <w:p>
      <w:pPr>
        <w:spacing w:after="40"/>
      </w:pPr>
    </w:p>
    <w:tbl>
      <w:tblPr>
        <w:tblW w:type="dxa" w:w="9634"/>
        <w:jc w:val="center"/>
        <w:tblLayout w:type="fixed"/>
        <w:tblLook w:firstColumn="1" w:firstRow="1" w:lastColumn="0" w:lastRow="0" w:noHBand="0" w:noVBand="1" w:val="04A0"/>
      </w:tblPr>
      <w:tblGrid>
        <w:gridCol w:w="691"/>
        <w:gridCol w:w="8942"/>
      </w:tblGrid>
      <w:tr>
        <w:trPr>
          <w:cantSplit/>
        </w:trPr>
        <w:tc>
          <w:tcPr>
            <w:tcW w:type="dxa" w:w="691"/>
            <w:shd w:fill="E9F7F5"/>
            <w:tcMar>
              <w:top w:w="115" w:type="dxa"/>
              <w:start w:w="110" w:type="dxa"/>
              <w:bottom w:w="115" w:type="dxa"/>
              <w:end w:w="11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6"/>
              </w:rPr>
              <w:t>☐</w:t>
            </w:r>
          </w:p>
        </w:tc>
        <w:tc>
          <w:tcPr>
            <w:tcW w:type="dxa" w:w="8942"/>
            <w:shd w:fill="F8FAFC"/>
            <w:tcMar>
              <w:top w:w="115" w:type="dxa"/>
              <w:start w:w="135" w:type="dxa"/>
              <w:bottom w:w="115" w:type="dxa"/>
              <w:end w:w="135" w:type="dxa"/>
            </w:tcMar>
            <w:tcBorders>
              <w:top w:val="single" w:sz="5" w:color="D9DEE5" w:space="0"/>
              <w:left w:val="single" w:sz="5" w:color="D9DEE5" w:space="0"/>
              <w:bottom w:val="single" w:sz="5" w:color="D9DEE5" w:space="0"/>
              <w:right w:val="single" w:sz="5" w:color="D9DEE5" w:space="0"/>
            </w:tcBorders>
          </w:tcPr>
          <w:p>
            <w:pPr>
              <w:spacing w:after="0" w:line="264" w:lineRule="auto"/>
            </w:pPr>
            <w:r>
              <w:rPr>
                <w:rFonts w:ascii="Arial" w:hAnsi="Arial" w:eastAsia="Arial" w:cs="Arial"/>
                <w:b w:val="0"/>
                <w:i w:val="0"/>
                <w:color w:val="1E2A36"/>
                <w:sz w:val="19"/>
              </w:rPr>
              <w:t>The finished wipe, its formulation, substrate, loading, processing, packaging and use state are traceable to the evidence and proposed articles.</w:t>
            </w:r>
          </w:p>
        </w:tc>
      </w:tr>
    </w:tbl>
    <w:p>
      <w:pPr>
        <w:spacing w:after="40"/>
      </w:pPr>
    </w:p>
    <w:tbl>
      <w:tblPr>
        <w:tblW w:type="dxa" w:w="9634"/>
        <w:jc w:val="center"/>
        <w:tblLayout w:type="fixed"/>
        <w:tblLook w:firstColumn="1" w:firstRow="1" w:lastColumn="0" w:lastRow="0" w:noHBand="0" w:noVBand="1" w:val="04A0"/>
      </w:tblPr>
      <w:tblGrid>
        <w:gridCol w:w="691"/>
        <w:gridCol w:w="8942"/>
      </w:tblGrid>
      <w:tr>
        <w:trPr>
          <w:cantSplit/>
        </w:trPr>
        <w:tc>
          <w:tcPr>
            <w:tcW w:type="dxa" w:w="691"/>
            <w:shd w:fill="E9F7F5"/>
            <w:tcMar>
              <w:top w:w="115" w:type="dxa"/>
              <w:start w:w="110" w:type="dxa"/>
              <w:bottom w:w="115" w:type="dxa"/>
              <w:end w:w="11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6"/>
              </w:rPr>
              <w:t>☐</w:t>
            </w:r>
          </w:p>
        </w:tc>
        <w:tc>
          <w:tcPr>
            <w:tcW w:type="dxa" w:w="8942"/>
            <w:shd w:fill="F8FAFC"/>
            <w:tcMar>
              <w:top w:w="115" w:type="dxa"/>
              <w:start w:w="135" w:type="dxa"/>
              <w:bottom w:w="115" w:type="dxa"/>
              <w:end w:w="135" w:type="dxa"/>
            </w:tcMar>
            <w:tcBorders>
              <w:top w:val="single" w:sz="5" w:color="D9DEE5" w:space="0"/>
              <w:left w:val="single" w:sz="5" w:color="D9DEE5" w:space="0"/>
              <w:bottom w:val="single" w:sz="5" w:color="D9DEE5" w:space="0"/>
              <w:right w:val="single" w:sz="5" w:color="D9DEE5" w:space="0"/>
            </w:tcBorders>
          </w:tcPr>
          <w:p>
            <w:pPr>
              <w:spacing w:after="0" w:line="264" w:lineRule="auto"/>
            </w:pPr>
            <w:r>
              <w:rPr>
                <w:rFonts w:ascii="Arial" w:hAnsi="Arial" w:eastAsia="Arial" w:cs="Arial"/>
                <w:b w:val="0"/>
                <w:i w:val="0"/>
                <w:color w:val="1E2A36"/>
                <w:sz w:val="19"/>
              </w:rPr>
              <w:t>Every relevant biological question has an evidence route, a documented applicability judgment and any necessary action.</w:t>
            </w:r>
          </w:p>
        </w:tc>
      </w:tr>
    </w:tbl>
    <w:p>
      <w:pPr>
        <w:spacing w:after="40"/>
      </w:pPr>
    </w:p>
    <w:tbl>
      <w:tblPr>
        <w:tblW w:type="dxa" w:w="9634"/>
        <w:jc w:val="center"/>
        <w:tblLayout w:type="fixed"/>
        <w:tblLook w:firstColumn="1" w:firstRow="1" w:lastColumn="0" w:lastRow="0" w:noHBand="0" w:noVBand="1" w:val="04A0"/>
      </w:tblPr>
      <w:tblGrid>
        <w:gridCol w:w="691"/>
        <w:gridCol w:w="8942"/>
      </w:tblGrid>
      <w:tr>
        <w:trPr>
          <w:cantSplit/>
        </w:trPr>
        <w:tc>
          <w:tcPr>
            <w:tcW w:type="dxa" w:w="691"/>
            <w:shd w:fill="E9F7F5"/>
            <w:tcMar>
              <w:top w:w="115" w:type="dxa"/>
              <w:start w:w="110" w:type="dxa"/>
              <w:bottom w:w="115" w:type="dxa"/>
              <w:end w:w="11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6"/>
              </w:rPr>
              <w:t>☐</w:t>
            </w:r>
          </w:p>
        </w:tc>
        <w:tc>
          <w:tcPr>
            <w:tcW w:type="dxa" w:w="8942"/>
            <w:shd w:fill="F8FAFC"/>
            <w:tcMar>
              <w:top w:w="115" w:type="dxa"/>
              <w:start w:w="135" w:type="dxa"/>
              <w:bottom w:w="115" w:type="dxa"/>
              <w:end w:w="135" w:type="dxa"/>
            </w:tcMar>
            <w:tcBorders>
              <w:top w:val="single" w:sz="5" w:color="D9DEE5" w:space="0"/>
              <w:left w:val="single" w:sz="5" w:color="D9DEE5" w:space="0"/>
              <w:bottom w:val="single" w:sz="5" w:color="D9DEE5" w:space="0"/>
              <w:right w:val="single" w:sz="5" w:color="D9DEE5" w:space="0"/>
            </w:tcBorders>
          </w:tcPr>
          <w:p>
            <w:pPr>
              <w:spacing w:after="0" w:line="264" w:lineRule="auto"/>
            </w:pPr>
            <w:r>
              <w:rPr>
                <w:rFonts w:ascii="Arial" w:hAnsi="Arial" w:eastAsia="Arial" w:cs="Arial"/>
                <w:b w:val="0"/>
                <w:i w:val="0"/>
                <w:color w:val="1E2A36"/>
                <w:sz w:val="19"/>
              </w:rPr>
              <w:t>Residue transfer, cumulative exposure and processed-device pathways are addressed where relevant; efficacy and compatibility remain separate evidence questions.</w:t>
            </w:r>
          </w:p>
        </w:tc>
      </w:tr>
    </w:tbl>
    <w:p>
      <w:pPr>
        <w:spacing w:after="40"/>
      </w:pPr>
    </w:p>
    <w:tbl>
      <w:tblPr>
        <w:tblW w:type="dxa" w:w="9634"/>
        <w:jc w:val="center"/>
        <w:tblLayout w:type="fixed"/>
        <w:tblLook w:firstColumn="1" w:firstRow="1" w:lastColumn="0" w:lastRow="0" w:noHBand="0" w:noVBand="1" w:val="04A0"/>
      </w:tblPr>
      <w:tblGrid>
        <w:gridCol w:w="691"/>
        <w:gridCol w:w="8942"/>
      </w:tblGrid>
      <w:tr>
        <w:trPr>
          <w:cantSplit/>
        </w:trPr>
        <w:tc>
          <w:tcPr>
            <w:tcW w:type="dxa" w:w="691"/>
            <w:shd w:fill="E9F7F5"/>
            <w:tcMar>
              <w:top w:w="115" w:type="dxa"/>
              <w:start w:w="110" w:type="dxa"/>
              <w:bottom w:w="115" w:type="dxa"/>
              <w:end w:w="11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6"/>
              </w:rPr>
              <w:t>☐</w:t>
            </w:r>
          </w:p>
        </w:tc>
        <w:tc>
          <w:tcPr>
            <w:tcW w:type="dxa" w:w="8942"/>
            <w:shd w:fill="F8FAFC"/>
            <w:tcMar>
              <w:top w:w="115" w:type="dxa"/>
              <w:start w:w="135" w:type="dxa"/>
              <w:bottom w:w="115" w:type="dxa"/>
              <w:end w:w="135" w:type="dxa"/>
            </w:tcMar>
            <w:tcBorders>
              <w:top w:val="single" w:sz="5" w:color="D9DEE5" w:space="0"/>
              <w:left w:val="single" w:sz="5" w:color="D9DEE5" w:space="0"/>
              <w:bottom w:val="single" w:sz="5" w:color="D9DEE5" w:space="0"/>
              <w:right w:val="single" w:sz="5" w:color="D9DEE5" w:space="0"/>
            </w:tcBorders>
          </w:tcPr>
          <w:p>
            <w:pPr>
              <w:spacing w:after="0" w:line="264" w:lineRule="auto"/>
            </w:pPr>
            <w:r>
              <w:rPr>
                <w:rFonts w:ascii="Arial" w:hAnsi="Arial" w:eastAsia="Arial" w:cs="Arial"/>
                <w:b w:val="0"/>
                <w:i w:val="0"/>
                <w:color w:val="1E2A36"/>
                <w:sz w:val="19"/>
              </w:rPr>
              <w:t>Any proposed testing or no-additional-testing rationale has been scientifically reviewed, with clear criteria, limitations and responsibilities.</w:t>
            </w:r>
          </w:p>
        </w:tc>
      </w:tr>
    </w:tbl>
    <w:p>
      <w:pPr>
        <w:spacing w:after="40"/>
      </w:pPr>
    </w:p>
    <w:tbl>
      <w:tblPr>
        <w:tblW w:type="dxa" w:w="9634"/>
        <w:jc w:val="center"/>
        <w:tblLayout w:type="fixed"/>
        <w:tblLook w:firstColumn="1" w:firstRow="1" w:lastColumn="0" w:lastRow="0" w:noHBand="0" w:noVBand="1" w:val="04A0"/>
      </w:tblPr>
      <w:tblGrid>
        <w:gridCol w:w="691"/>
        <w:gridCol w:w="8942"/>
      </w:tblGrid>
      <w:tr>
        <w:trPr>
          <w:cantSplit/>
        </w:trPr>
        <w:tc>
          <w:tcPr>
            <w:tcW w:type="dxa" w:w="691"/>
            <w:shd w:fill="E9F7F5"/>
            <w:tcMar>
              <w:top w:w="115" w:type="dxa"/>
              <w:start w:w="110" w:type="dxa"/>
              <w:bottom w:w="115" w:type="dxa"/>
              <w:end w:w="110" w:type="dxa"/>
            </w:tcMar>
            <w:tcBorders>
              <w:top w:val="single" w:sz="5" w:color="D9DEE5" w:space="0"/>
              <w:left w:val="single" w:sz="5" w:color="D9DEE5" w:space="0"/>
              <w:bottom w:val="single" w:sz="5" w:color="D9DEE5" w:space="0"/>
              <w:right w:val="single" w:sz="5" w:color="D9DEE5" w:space="0"/>
            </w:tcBorders>
          </w:tcPr>
          <w:p>
            <w:pPr>
              <w:spacing w:after="0"/>
              <w:jc w:val="center"/>
            </w:pPr>
            <w:r>
              <w:rPr>
                <w:rFonts w:ascii="Arial" w:hAnsi="Arial" w:eastAsia="Arial" w:cs="Arial"/>
                <w:b/>
                <w:i w:val="0"/>
                <w:color w:val="00B4A6"/>
                <w:sz w:val="26"/>
              </w:rPr>
              <w:t>☐</w:t>
            </w:r>
          </w:p>
        </w:tc>
        <w:tc>
          <w:tcPr>
            <w:tcW w:type="dxa" w:w="8942"/>
            <w:shd w:fill="F8FAFC"/>
            <w:tcMar>
              <w:top w:w="115" w:type="dxa"/>
              <w:start w:w="135" w:type="dxa"/>
              <w:bottom w:w="115" w:type="dxa"/>
              <w:end w:w="135" w:type="dxa"/>
            </w:tcMar>
            <w:tcBorders>
              <w:top w:val="single" w:sz="5" w:color="D9DEE5" w:space="0"/>
              <w:left w:val="single" w:sz="5" w:color="D9DEE5" w:space="0"/>
              <w:bottom w:val="single" w:sz="5" w:color="D9DEE5" w:space="0"/>
              <w:right w:val="single" w:sz="5" w:color="D9DEE5" w:space="0"/>
            </w:tcBorders>
          </w:tcPr>
          <w:p>
            <w:pPr>
              <w:spacing w:after="0" w:line="264" w:lineRule="auto"/>
            </w:pPr>
            <w:r>
              <w:rPr>
                <w:rFonts w:ascii="Arial" w:hAnsi="Arial" w:eastAsia="Arial" w:cs="Arial"/>
                <w:b w:val="0"/>
                <w:i w:val="0"/>
                <w:color w:val="1E2A36"/>
                <w:sz w:val="19"/>
              </w:rPr>
              <w:t>All bracketed prompts are completed or justified, source revisions are recorded, and the plan has the required organisational approvals.</w:t>
            </w:r>
          </w:p>
        </w:tc>
      </w:tr>
    </w:tbl>
    <w:p>
      <w:pPr>
        <w:spacing w:after="40"/>
      </w:pPr>
    </w:p>
    <w:p>
      <w:pPr>
        <w:pStyle w:val="Heading2"/>
      </w:pPr>
      <w:r>
        <w:t>Public sources for the planning approach</w:t>
      </w:r>
    </w:p>
    <w:p>
      <w:pPr>
        <w:pStyle w:val="Fineprint"/>
      </w:pPr>
      <w:r>
        <w:rPr>
          <w:b w:val="0"/>
          <w:sz w:val="21"/>
        </w:rPr>
        <w:t>Links checked 9 September 2026. They explain the approach and do not replace the controlled standards or product-specific requirements. Record the versions and recognition conditions actually used in section 2.</w:t>
      </w:r>
    </w:p>
    <w:tbl>
      <w:tblPr>
        <w:tblW w:type="dxa" w:w="9634"/>
        <w:jc w:val="center"/>
        <w:tblLayout w:type="fixed"/>
        <w:tblLook w:firstColumn="1" w:firstRow="1" w:lastColumn="0" w:lastRow="0" w:noHBand="0" w:noVBand="1" w:val="04A0"/>
      </w:tblPr>
      <w:tblGrid>
        <w:gridCol w:w="792"/>
        <w:gridCol w:w="7056"/>
        <w:gridCol w:w="1786"/>
      </w:tblGrid>
      <w:tr>
        <w:trPr>
          <w:tblHeader/>
        </w:trPr>
        <w:tc>
          <w:tcPr>
            <w:tcW w:type="dxa" w:w="792"/>
            <w:shd w:fill="0A2342"/>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i w:val="0"/>
                <w:color w:val="FFFFFF"/>
                <w:sz w:val="17"/>
              </w:rPr>
              <w:t>Ref</w:t>
            </w:r>
          </w:p>
        </w:tc>
        <w:tc>
          <w:tcPr>
            <w:tcW w:type="dxa" w:w="7056"/>
            <w:shd w:fill="0A2342"/>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i w:val="0"/>
                <w:color w:val="FFFFFF"/>
                <w:sz w:val="17"/>
              </w:rPr>
              <w:t>Official source</w:t>
            </w:r>
          </w:p>
        </w:tc>
        <w:tc>
          <w:tcPr>
            <w:tcW w:type="dxa" w:w="1786"/>
            <w:shd w:fill="0A2342"/>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tcPr>
          <w:p>
            <w:pPr>
              <w:spacing w:after="0"/>
            </w:pPr>
            <w:r>
              <w:rPr>
                <w:rFonts w:ascii="Arial" w:hAnsi="Arial" w:eastAsia="Arial" w:cs="Arial"/>
                <w:b/>
                <w:i w:val="0"/>
                <w:color w:val="FFFFFF"/>
                <w:sz w:val="17"/>
              </w:rPr>
              <w:t>Access</w:t>
            </w:r>
          </w:p>
        </w:tc>
      </w:tr>
      <w:tr>
        <w:trPr>
          <w:cantSplit/>
        </w:trPr>
        <w:tc>
          <w:tcPr>
            <w:tcW w:type="dxa" w:w="792"/>
            <w:shd w:fill="FFFFFF"/>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jc w:val="center"/>
            </w:pPr>
            <w:r>
              <w:rPr>
                <w:rFonts w:ascii="Arial" w:hAnsi="Arial" w:eastAsia="Arial" w:cs="Arial"/>
                <w:b/>
                <w:i w:val="0"/>
                <w:color w:val="0A2342"/>
                <w:sz w:val="18"/>
              </w:rPr>
              <w:t>1</w:t>
            </w:r>
          </w:p>
        </w:tc>
        <w:tc>
          <w:tcPr>
            <w:tcW w:type="dxa" w:w="7056"/>
            <w:shd w:fill="FFFFFF"/>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r>
              <w:rPr>
                <w:rFonts w:ascii="Arial" w:hAnsi="Arial" w:eastAsia="Arial" w:cs="Arial"/>
                <w:b w:val="0"/>
                <w:i w:val="0"/>
                <w:color w:val="1E2A36"/>
                <w:sz w:val="17"/>
              </w:rPr>
              <w:t>ISO 10993 Part 1 official edition page</w:t>
            </w:r>
          </w:p>
        </w:tc>
        <w:tc>
          <w:tcPr>
            <w:tcW w:type="dxa" w:w="1786"/>
            <w:shd w:fill="FFFFFF"/>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hyperlink r:id="rId11">
              <w:r>
                <w:rPr>
                  <w:rFonts w:ascii="Arial" w:hAnsi="Arial"/>
                  <w:color w:val="1E5FA8"/>
                  <w:sz w:val="17"/>
                </w:rPr>
                <w:t>Open source</w:t>
              </w:r>
            </w:hyperlink>
          </w:p>
        </w:tc>
      </w:tr>
      <w:tr>
        <w:trPr>
          <w:cantSplit/>
        </w:trPr>
        <w:tc>
          <w:tcPr>
            <w:tcW w:type="dxa" w:w="792"/>
            <w:shd w:fill="EDF2FB"/>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jc w:val="center"/>
            </w:pPr>
            <w:r>
              <w:rPr>
                <w:rFonts w:ascii="Arial" w:hAnsi="Arial" w:eastAsia="Arial" w:cs="Arial"/>
                <w:b/>
                <w:i w:val="0"/>
                <w:color w:val="0A2342"/>
                <w:sz w:val="18"/>
              </w:rPr>
              <w:t>2</w:t>
            </w:r>
          </w:p>
        </w:tc>
        <w:tc>
          <w:tcPr>
            <w:tcW w:type="dxa" w:w="7056"/>
            <w:shd w:fill="EDF2FB"/>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r>
              <w:rPr>
                <w:rFonts w:ascii="Arial" w:hAnsi="Arial" w:eastAsia="Arial" w:cs="Arial"/>
                <w:b w:val="0"/>
                <w:i w:val="0"/>
                <w:color w:val="1E2A36"/>
                <w:sz w:val="17"/>
              </w:rPr>
              <w:t>FDA disposable wipes and intended use</w:t>
            </w:r>
          </w:p>
        </w:tc>
        <w:tc>
          <w:tcPr>
            <w:tcW w:type="dxa" w:w="1786"/>
            <w:shd w:fill="EDF2FB"/>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hyperlink r:id="rId12">
              <w:r>
                <w:rPr>
                  <w:rFonts w:ascii="Arial" w:hAnsi="Arial"/>
                  <w:color w:val="1E5FA8"/>
                  <w:sz w:val="17"/>
                </w:rPr>
                <w:t>Open source</w:t>
              </w:r>
            </w:hyperlink>
          </w:p>
        </w:tc>
      </w:tr>
      <w:tr>
        <w:trPr>
          <w:cantSplit/>
        </w:trPr>
        <w:tc>
          <w:tcPr>
            <w:tcW w:type="dxa" w:w="792"/>
            <w:shd w:fill="FFFFFF"/>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jc w:val="center"/>
            </w:pPr>
            <w:r>
              <w:rPr>
                <w:rFonts w:ascii="Arial" w:hAnsi="Arial" w:eastAsia="Arial" w:cs="Arial"/>
                <w:b/>
                <w:i w:val="0"/>
                <w:color w:val="0A2342"/>
                <w:sz w:val="18"/>
              </w:rPr>
              <w:t>3</w:t>
            </w:r>
          </w:p>
        </w:tc>
        <w:tc>
          <w:tcPr>
            <w:tcW w:type="dxa" w:w="7056"/>
            <w:shd w:fill="FFFFFF"/>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r>
              <w:rPr>
                <w:rFonts w:ascii="Arial" w:hAnsi="Arial" w:eastAsia="Arial" w:cs="Arial"/>
                <w:b w:val="0"/>
                <w:i w:val="0"/>
                <w:color w:val="1E2A36"/>
                <w:sz w:val="17"/>
              </w:rPr>
              <w:t>FDA biocompatibility assessment basics</w:t>
            </w:r>
          </w:p>
        </w:tc>
        <w:tc>
          <w:tcPr>
            <w:tcW w:type="dxa" w:w="1786"/>
            <w:shd w:fill="FFFFFF"/>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hyperlink r:id="rId13">
              <w:r>
                <w:rPr>
                  <w:rFonts w:ascii="Arial" w:hAnsi="Arial"/>
                  <w:color w:val="1E5FA8"/>
                  <w:sz w:val="17"/>
                </w:rPr>
                <w:t>Open source</w:t>
              </w:r>
            </w:hyperlink>
          </w:p>
        </w:tc>
      </w:tr>
      <w:tr>
        <w:trPr>
          <w:cantSplit/>
        </w:trPr>
        <w:tc>
          <w:tcPr>
            <w:tcW w:type="dxa" w:w="792"/>
            <w:shd w:fill="EDF2FB"/>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jc w:val="center"/>
            </w:pPr>
            <w:r>
              <w:rPr>
                <w:rFonts w:ascii="Arial" w:hAnsi="Arial" w:eastAsia="Arial" w:cs="Arial"/>
                <w:b/>
                <w:i w:val="0"/>
                <w:color w:val="0A2342"/>
                <w:sz w:val="18"/>
              </w:rPr>
              <w:t>4</w:t>
            </w:r>
          </w:p>
        </w:tc>
        <w:tc>
          <w:tcPr>
            <w:tcW w:type="dxa" w:w="7056"/>
            <w:shd w:fill="EDF2FB"/>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r>
              <w:rPr>
                <w:rFonts w:ascii="Arial" w:hAnsi="Arial" w:eastAsia="Arial" w:cs="Arial"/>
                <w:b w:val="0"/>
                <w:i w:val="0"/>
                <w:color w:val="1E2A36"/>
                <w:sz w:val="17"/>
              </w:rPr>
              <w:t>FDA guidance on use of ISO 10993 Part 1</w:t>
            </w:r>
          </w:p>
        </w:tc>
        <w:tc>
          <w:tcPr>
            <w:tcW w:type="dxa" w:w="1786"/>
            <w:shd w:fill="EDF2FB"/>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hyperlink r:id="rId14">
              <w:r>
                <w:rPr>
                  <w:rFonts w:ascii="Arial" w:hAnsi="Arial"/>
                  <w:color w:val="1E5FA8"/>
                  <w:sz w:val="17"/>
                </w:rPr>
                <w:t>Open source</w:t>
              </w:r>
            </w:hyperlink>
          </w:p>
        </w:tc>
      </w:tr>
      <w:tr>
        <w:trPr>
          <w:cantSplit/>
        </w:trPr>
        <w:tc>
          <w:tcPr>
            <w:tcW w:type="dxa" w:w="792"/>
            <w:shd w:fill="FFFFFF"/>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jc w:val="center"/>
            </w:pPr>
            <w:r>
              <w:rPr>
                <w:rFonts w:ascii="Arial" w:hAnsi="Arial" w:eastAsia="Arial" w:cs="Arial"/>
                <w:b/>
                <w:i w:val="0"/>
                <w:color w:val="0A2342"/>
                <w:sz w:val="18"/>
              </w:rPr>
              <w:t>5</w:t>
            </w:r>
          </w:p>
        </w:tc>
        <w:tc>
          <w:tcPr>
            <w:tcW w:type="dxa" w:w="7056"/>
            <w:shd w:fill="FFFFFF"/>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r>
              <w:rPr>
                <w:rFonts w:ascii="Arial" w:hAnsi="Arial" w:eastAsia="Arial" w:cs="Arial"/>
                <w:b w:val="0"/>
                <w:i w:val="0"/>
                <w:color w:val="1E2A36"/>
                <w:sz w:val="17"/>
              </w:rPr>
              <w:t>FDA reprocessing validation and labeling guidance</w:t>
            </w:r>
          </w:p>
        </w:tc>
        <w:tc>
          <w:tcPr>
            <w:tcW w:type="dxa" w:w="1786"/>
            <w:shd w:fill="FFFFFF"/>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hyperlink r:id="rId15">
              <w:r>
                <w:rPr>
                  <w:rFonts w:ascii="Arial" w:hAnsi="Arial"/>
                  <w:color w:val="1E5FA8"/>
                  <w:sz w:val="17"/>
                </w:rPr>
                <w:t>Open source</w:t>
              </w:r>
            </w:hyperlink>
          </w:p>
        </w:tc>
      </w:tr>
      <w:tr>
        <w:trPr>
          <w:cantSplit/>
        </w:trPr>
        <w:tc>
          <w:tcPr>
            <w:tcW w:type="dxa" w:w="792"/>
            <w:shd w:fill="EDF2FB"/>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jc w:val="center"/>
            </w:pPr>
            <w:r>
              <w:rPr>
                <w:rFonts w:ascii="Arial" w:hAnsi="Arial" w:eastAsia="Arial" w:cs="Arial"/>
                <w:b/>
                <w:i w:val="0"/>
                <w:color w:val="0A2342"/>
                <w:sz w:val="18"/>
              </w:rPr>
              <w:t>6</w:t>
            </w:r>
          </w:p>
        </w:tc>
        <w:tc>
          <w:tcPr>
            <w:tcW w:type="dxa" w:w="7056"/>
            <w:shd w:fill="EDF2FB"/>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r>
              <w:rPr>
                <w:rFonts w:ascii="Arial" w:hAnsi="Arial" w:eastAsia="Arial" w:cs="Arial"/>
                <w:b w:val="0"/>
                <w:i w:val="0"/>
                <w:color w:val="1E2A36"/>
                <w:sz w:val="17"/>
              </w:rPr>
              <w:t>FDA recognition record for ISO 10993 Part 1 2025</w:t>
            </w:r>
          </w:p>
        </w:tc>
        <w:tc>
          <w:tcPr>
            <w:tcW w:type="dxa" w:w="1786"/>
            <w:shd w:fill="EDF2FB"/>
            <w:tcMar>
              <w:top w:w="95" w:type="dxa"/>
              <w:start w:w="115" w:type="dxa"/>
              <w:bottom w:w="95" w:type="dxa"/>
              <w:end w:w="115" w:type="dxa"/>
            </w:tcMar>
            <w:tcBorders>
              <w:top w:val="single" w:sz="5" w:color="D9DEE5" w:space="0"/>
              <w:left w:val="single" w:sz="5" w:color="D9DEE5" w:space="0"/>
              <w:bottom w:val="single" w:sz="5" w:color="D9DEE5" w:space="0"/>
              <w:right w:val="single" w:sz="5" w:color="D9DEE5" w:space="0"/>
            </w:tcBorders>
            <w:vAlign w:val="center"/>
          </w:tcPr>
          <w:p>
            <w:pPr>
              <w:spacing w:after="0"/>
            </w:pPr>
            <w:hyperlink r:id="rId16">
              <w:r>
                <w:rPr>
                  <w:rFonts w:ascii="Arial" w:hAnsi="Arial"/>
                  <w:color w:val="1E5FA8"/>
                  <w:sz w:val="17"/>
                </w:rPr>
                <w:t>Open source</w:t>
              </w:r>
            </w:hyperlink>
          </w:p>
        </w:tc>
      </w:tr>
    </w:tbl>
    <w:p>
      <w:pPr>
        <w:pStyle w:val="Fineprint"/>
      </w:pPr>
      <w:r>
        <w:rPr>
          <w:b w:val="0"/>
          <w:sz w:val="20"/>
        </w:rPr>
        <w:t>FDA recognition of the 2025 edition is partial. Check its exclusions and transition provisions before using a declaration of conformity; a published ISO edition is not automatically accepted without conditions in every market. [6]</w:t>
      </w:r>
    </w:p>
    <w:p>
      <w:pPr>
        <w:pStyle w:val="Heading1"/>
        <w:pageBreakBefore/>
        <w:spacing w:before="1280" w:after="280"/>
      </w:pPr>
      <w:r>
        <w:rPr>
          <w:rFonts w:ascii="Georgia" w:hAnsi="Georgia" w:eastAsia="Georgia" w:cs="Georgia"/>
          <w:b/>
          <w:i w:val="0"/>
          <w:color w:val="0A2342"/>
          <w:sz w:val="44"/>
        </w:rPr>
        <w:t>Expert support for your medical wipe BEP</w:t>
      </w:r>
    </w:p>
    <w:p>
      <w:pPr>
        <w:spacing w:before="80" w:after="360"/>
      </w:pPr>
      <w:r>
        <w:drawing>
          <wp:inline xmlns:a="http://schemas.openxmlformats.org/drawingml/2006/main" xmlns:pic="http://schemas.openxmlformats.org/drawingml/2006/picture">
            <wp:extent cx="5440680" cy="1746504"/>
            <wp:docPr id="1" name="Picture 1" descr="Pathway from a medical wipe and exposure assessment to evidence and an evaluation plan"/>
            <wp:cNvGraphicFramePr>
              <a:graphicFrameLocks noChangeAspect="1"/>
            </wp:cNvGraphicFramePr>
            <a:graphic>
              <a:graphicData uri="http://schemas.openxmlformats.org/drawingml/2006/picture">
                <pic:pic>
                  <pic:nvPicPr>
                    <pic:cNvPr id="0" name="medical-wipe-evidence-pathway.png"/>
                    <pic:cNvPicPr/>
                  </pic:nvPicPr>
                  <pic:blipFill>
                    <a:blip r:embed="rId18"/>
                    <a:stretch>
                      <a:fillRect/>
                    </a:stretch>
                  </pic:blipFill>
                  <pic:spPr>
                    <a:xfrm>
                      <a:off x="0" y="0"/>
                      <a:ext cx="5440680" cy="1746504"/>
                    </a:xfrm>
                    <a:prstGeom prst="rect"/>
                  </pic:spPr>
                </pic:pic>
              </a:graphicData>
            </a:graphic>
          </wp:inline>
        </w:drawing>
      </w:r>
    </w:p>
    <w:p>
      <w:pPr>
        <w:pStyle w:val="Lead"/>
        <w:ind w:right="648"/>
        <w:spacing w:after="180"/>
      </w:pPr>
      <w:r>
        <w:rPr>
          <w:sz w:val="21"/>
        </w:rPr>
        <w:t>Need help completing this template or reviewing your draft? MedDev Advisory offers scoped support for medical wipe biological evaluation planning.</w:t>
      </w:r>
    </w:p>
    <w:p>
      <w:pPr>
        <w:pStyle w:val="Lead"/>
        <w:ind w:right="648"/>
        <w:spacing w:after="180"/>
      </w:pPr>
      <w:r>
        <w:rPr>
          <w:b/>
          <w:sz w:val="21"/>
        </w:rPr>
        <w:t xml:space="preserve">BEP preparation. </w:t>
      </w:r>
      <w:r>
        <w:rPr>
          <w:sz w:val="21"/>
        </w:rPr>
        <w:t>Develop a device-specific plan from the agreed product information and available evidence.</w:t>
      </w:r>
    </w:p>
    <w:p>
      <w:pPr>
        <w:pStyle w:val="Lead"/>
        <w:ind w:right="648"/>
        <w:spacing w:after="180"/>
      </w:pPr>
      <w:r>
        <w:rPr>
          <w:b/>
          <w:sz w:val="21"/>
        </w:rPr>
        <w:t xml:space="preserve">Independent BEP review. </w:t>
      </w:r>
      <w:r>
        <w:rPr>
          <w:sz w:val="21"/>
        </w:rPr>
        <w:t>Review your draft for gaps in the device description, evidence applicability, proposed evaluation work and documented rationale.</w:t>
      </w:r>
    </w:p>
    <w:p>
      <w:pPr>
        <w:pStyle w:val="Lead"/>
        <w:ind w:right="648"/>
        <w:spacing w:after="180"/>
      </w:pPr>
      <w:r>
        <w:rPr>
          <w:b/>
          <w:sz w:val="21"/>
        </w:rPr>
        <w:t xml:space="preserve">Start with a non-confidential enquiry. </w:t>
      </w:r>
      <w:r>
        <w:rPr>
          <w:sz w:val="21"/>
        </w:rPr>
        <w:t>Include the intended use, contact type and duration, target market, whether you have a draft BEP, what evidence is available, and your required timeline.</w:t>
      </w:r>
    </w:p>
    <w:p>
      <w:pPr>
        <w:pStyle w:val="Lead"/>
        <w:ind w:right="648"/>
        <w:spacing w:after="180"/>
      </w:pPr>
      <w:r>
        <w:rPr>
          <w:sz w:val="21"/>
        </w:rPr>
        <w:t>The deliverables, fee and timeline are agreed before work begins. Agree confidentiality arrangements and a secure sharing route before sending formulations or reports.</w:t>
      </w:r>
    </w:p>
    <w:p>
      <w:pPr>
        <w:pStyle w:val="Sourcelink"/>
        <w:spacing w:before="160"/>
      </w:pPr>
      <w:hyperlink r:id="rId17">
        <w:r>
          <w:rPr>
            <w:color w:val="154C75"/>
            <w:b/>
          </w:rPr>
          <w:t>Discuss your medical wipe BEP</w:t>
        </w:r>
      </w:hyperlink>
    </w:p>
    <w:sectPr w:rsidR="00FC693F" w:rsidRPr="0006063C" w:rsidSect="00034616">
      <w:headerReference w:type="default" r:id="rId9"/>
      <w:footerReference w:type="default" r:id="rId10"/>
      <w:pgSz w:w="11906" w:h="16838"/>
      <w:pgMar w:top="1134" w:right="1134" w:bottom="1077" w:left="1134"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76" w:val="right"/>
      </w:tabs>
      <w:spacing w:after="0"/>
      <w:jc w:val="right"/>
    </w:pPr>
    <w:hyperlink r:id="rId1">
      <w:r>
        <w:rPr>
          <w:rFonts w:ascii="Arial" w:hAnsi="Arial"/>
          <w:color w:val="5F6B7A"/>
          <w:sz w:val="15"/>
        </w:rPr>
        <w:t>meddevadvisory.com</w:t>
      </w:r>
    </w:hyperlink>
    <w:r>
      <w:rPr>
        <w:rFonts w:ascii="Arial" w:hAnsi="Arial" w:eastAsia="Arial" w:cs="Arial"/>
        <w:b w:val="0"/>
        <w:i w:val="0"/>
        <w:color w:val="5F6B7A"/>
        <w:sz w:val="15"/>
      </w:rPr>
      <w:t xml:space="preserve">  ·  Editable template v1.0</w:t>
    </w:r>
    <w:r>
      <w:rPr>
        <w:rFonts w:ascii="Arial" w:hAnsi="Arial" w:eastAsia="Arial" w:cs="Arial"/>
        <w:b/>
        <w:i w:val="0"/>
        <w:color w:val="5F6B7A"/>
        <w:sz w:val="15"/>
      </w:rPr>
      <w:tab/>
      <w:t xml:space="preserve">PAGE </w:t>
    </w:r>
    <w:fldSimple w:instr="PAGE">
      <w:r>
        <w:rPr>
          <w:sz w:val="15"/>
          <w:color w:val="5F6B7A"/>
        </w:rP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576" w:val="right"/>
      </w:tabs>
      <w:spacing w:after="0"/>
      <w:pBdr>
        <w:bottom w:val="single" w:sz="6" w:color="00B4A6" w:space="4"/>
      </w:pBdr>
    </w:pPr>
    <w:r>
      <w:drawing>
        <wp:inline xmlns:a="http://schemas.openxmlformats.org/drawingml/2006/main" xmlns:pic="http://schemas.openxmlformats.org/drawingml/2006/picture">
          <wp:extent cx="182880" cy="182880"/>
          <wp:docPr id="1" name="Picture 1" descr="MedDev Advisory shield logo"/>
          <wp:cNvGraphicFramePr>
            <a:graphicFrameLocks noChangeAspect="1"/>
          </wp:cNvGraphicFramePr>
          <a:graphic>
            <a:graphicData uri="http://schemas.openxmlformats.org/drawingml/2006/picture">
              <pic:pic>
                <pic:nvPicPr>
                  <pic:cNvPr id="0" name="logo-mark.png"/>
                  <pic:cNvPicPr/>
                </pic:nvPicPr>
                <pic:blipFill>
                  <a:blip r:embed="rId1"/>
                  <a:stretch>
                    <a:fillRect/>
                  </a:stretch>
                </pic:blipFill>
                <pic:spPr>
                  <a:xfrm>
                    <a:off x="0" y="0"/>
                    <a:ext cx="182880" cy="182880"/>
                  </a:xfrm>
                  <a:prstGeom prst="rect"/>
                </pic:spPr>
              </pic:pic>
            </a:graphicData>
          </a:graphic>
        </wp:inline>
      </w:drawing>
    </w:r>
    <w:r>
      <w:rPr>
        <w:rFonts w:ascii="Arial" w:hAnsi="Arial" w:eastAsia="Arial" w:cs="Arial"/>
        <w:b/>
        <w:i w:val="0"/>
        <w:color w:val="0A2342"/>
        <w:sz w:val="15"/>
      </w:rPr>
      <w:t xml:space="preserve">  MEDDEV ADVISORY</w:t>
    </w:r>
    <w:r>
      <w:rPr>
        <w:rFonts w:ascii="Arial" w:hAnsi="Arial" w:eastAsia="Arial" w:cs="Arial"/>
        <w:b/>
        <w:i w:val="0"/>
        <w:color w:val="5F6B7A"/>
        <w:sz w:val="14"/>
      </w:rPr>
      <w:tab/>
      <w:t>MEDICAL WIPE BEP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8" w:lineRule="auto" w:before="0"/>
      <w:jc w:val="left"/>
    </w:pPr>
    <w:rPr>
      <w:rFonts w:ascii="Arial" w:hAnsi="Arial" w:eastAsia="Arial" w:cs="Arial"/>
      <w:b w:val="0"/>
      <w:i w:val="0"/>
      <w:color w:val="1E2A36"/>
      <w:sz w:val="21"/>
      <w:lang w:val="en-GB"/>
    </w:rPr>
  </w:style>
  <w:style w:type="paragraph" w:styleId="Header">
    <w:name w:val="header"/>
    <w:basedOn w:val="Normal"/>
    <w:link w:val="HeaderChar"/>
    <w:uiPriority w:val="99"/>
    <w:unhideWhenUsed/>
    <w:rsid w:val="00E618BF"/>
    <w:pPr>
      <w:tabs>
        <w:tab w:val="center" w:pos="4680"/>
        <w:tab w:val="right" w:pos="9360"/>
      </w:tabs>
      <w:spacing w:after="120" w:line="240" w:lineRule="auto"/>
    </w:pPr>
    <w:rPr>
      <w:rFonts w:ascii="Calibri" w:hAnsi="Calibri"/>
      <w:color w:val="000000"/>
      <w:lang w:val="en-GB"/>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120" w:line="240" w:lineRule="auto"/>
    </w:pPr>
    <w:rPr>
      <w:rFonts w:ascii="Calibri" w:hAnsi="Calibri"/>
      <w:color w:val="000000"/>
      <w:lang w:val="en-GB"/>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80"/>
      <w:jc w:val="left"/>
      <w:outlineLvl w:val="0"/>
    </w:pPr>
    <w:rPr>
      <w:rFonts w:ascii="Georgia" w:hAnsi="Georgia" w:eastAsia="Georgia" w:cs="Georgia"/>
      <w:b/>
      <w:bCs/>
      <w:i w:val="0"/>
      <w:color w:val="0A2342"/>
      <w:sz w:val="38"/>
      <w:szCs w:val="28"/>
      <w:lang w:val="en-GB"/>
    </w:rPr>
  </w:style>
  <w:style w:type="paragraph" w:styleId="Heading2">
    <w:name w:val="heading 2"/>
    <w:basedOn w:val="Normal"/>
    <w:next w:val="Normal"/>
    <w:link w:val="Heading2Char"/>
    <w:uiPriority w:val="9"/>
    <w:unhideWhenUsed/>
    <w:qFormat/>
    <w:rsid w:val="00FC693F"/>
    <w:pPr>
      <w:keepNext/>
      <w:keepLines/>
      <w:spacing w:before="240" w:after="100"/>
      <w:jc w:val="left"/>
      <w:outlineLvl w:val="1"/>
    </w:pPr>
    <w:rPr>
      <w:rFonts w:ascii="Arial" w:hAnsi="Arial" w:eastAsia="Arial" w:cs="Arial"/>
      <w:b/>
      <w:bCs/>
      <w:i w:val="0"/>
      <w:color w:val="0B7F76"/>
      <w:sz w:val="25"/>
      <w:szCs w:val="26"/>
      <w:lang w:val="en-GB"/>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en-G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en-GB"/>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en-GB"/>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en-GB"/>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en-GB"/>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en-GB"/>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lang w:val="en-GB"/>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80" w:line="240" w:lineRule="auto"/>
      <w:contextualSpacing/>
      <w:jc w:val="left"/>
    </w:pPr>
    <w:rPr>
      <w:rFonts w:ascii="Georgia" w:hAnsi="Georgia" w:eastAsia="Georgia" w:cs="Georgia"/>
      <w:b/>
      <w:i w:val="0"/>
      <w:color w:val="FFFFFF"/>
      <w:spacing w:val="5"/>
      <w:kern w:val="28"/>
      <w:sz w:val="56"/>
      <w:szCs w:val="52"/>
      <w:lang w:val="en-GB"/>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80"/>
      <w:jc w:val="left"/>
    </w:pPr>
    <w:rPr>
      <w:rFonts w:ascii="Arial" w:hAnsi="Arial" w:eastAsia="Arial" w:cs="Arial"/>
      <w:b w:val="0"/>
      <w:i w:val="0"/>
      <w:iCs/>
      <w:color w:val="5F6B7A"/>
      <w:spacing w:val="15"/>
      <w:sz w:val="24"/>
      <w:szCs w:val="24"/>
      <w:lang w:val="en-GB"/>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lang w:val="en-GB"/>
    </w:rPr>
  </w:style>
  <w:style w:type="paragraph" w:styleId="BodyText">
    <w:name w:val="Body Text"/>
    <w:basedOn w:val="Normal"/>
    <w:link w:val="BodyTextChar"/>
    <w:uiPriority w:val="99"/>
    <w:unhideWhenUsed/>
    <w:rsid w:val="00AA1D8D"/>
    <w:pPr>
      <w:spacing w:after="120"/>
    </w:pPr>
    <w:rPr>
      <w:lang w:val="en-GB"/>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rPr>
      <w:lang w:val="en-GB"/>
    </w:r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en-GB"/>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rPr>
      <w:lang w:val="en-GB"/>
    </w:rPr>
  </w:style>
  <w:style w:type="paragraph" w:styleId="List2">
    <w:name w:val="List 2"/>
    <w:basedOn w:val="Normal"/>
    <w:uiPriority w:val="99"/>
    <w:unhideWhenUsed/>
    <w:rsid w:val="00326F90"/>
    <w:pPr>
      <w:ind w:left="720" w:hanging="360"/>
      <w:contextualSpacing/>
    </w:pPr>
    <w:rPr>
      <w:lang w:val="en-GB"/>
    </w:rPr>
  </w:style>
  <w:style w:type="paragraph" w:styleId="List3">
    <w:name w:val="List 3"/>
    <w:basedOn w:val="Normal"/>
    <w:uiPriority w:val="99"/>
    <w:unhideWhenUsed/>
    <w:rsid w:val="00326F90"/>
    <w:pPr>
      <w:ind w:left="1080" w:hanging="360"/>
      <w:contextualSpacing/>
    </w:pPr>
    <w:rPr>
      <w:lang w:val="en-GB"/>
    </w:rPr>
  </w:style>
  <w:style w:type="paragraph" w:styleId="ListBullet">
    <w:name w:val="List Bullet"/>
    <w:basedOn w:val="Normal"/>
    <w:uiPriority w:val="99"/>
    <w:unhideWhenUsed/>
    <w:rsid w:val="00326F90"/>
    <w:pPr>
      <w:numPr>
        <w:numId w:val="1"/>
      </w:numPr>
      <w:contextualSpacing/>
    </w:pPr>
    <w:rPr>
      <w:lang w:val="en-GB"/>
    </w:rPr>
  </w:style>
  <w:style w:type="paragraph" w:styleId="ListBullet2">
    <w:name w:val="List Bullet 2"/>
    <w:basedOn w:val="Normal"/>
    <w:uiPriority w:val="99"/>
    <w:unhideWhenUsed/>
    <w:rsid w:val="00326F90"/>
    <w:pPr>
      <w:numPr>
        <w:numId w:val="2"/>
      </w:numPr>
      <w:contextualSpacing/>
    </w:pPr>
    <w:rPr>
      <w:lang w:val="en-GB"/>
    </w:rPr>
  </w:style>
  <w:style w:type="paragraph" w:styleId="ListBullet3">
    <w:name w:val="List Bullet 3"/>
    <w:basedOn w:val="Normal"/>
    <w:uiPriority w:val="99"/>
    <w:unhideWhenUsed/>
    <w:rsid w:val="00326F90"/>
    <w:pPr>
      <w:numPr>
        <w:numId w:val="3"/>
      </w:numPr>
      <w:contextualSpacing/>
    </w:pPr>
    <w:rPr>
      <w:lang w:val="en-GB"/>
    </w:rPr>
  </w:style>
  <w:style w:type="paragraph" w:styleId="ListNumber">
    <w:name w:val="List Number"/>
    <w:basedOn w:val="Normal"/>
    <w:uiPriority w:val="99"/>
    <w:unhideWhenUsed/>
    <w:rsid w:val="00326F90"/>
    <w:pPr>
      <w:numPr>
        <w:numId w:val="5"/>
      </w:numPr>
      <w:contextualSpacing/>
    </w:pPr>
    <w:rPr>
      <w:lang w:val="en-GB"/>
    </w:rPr>
  </w:style>
  <w:style w:type="paragraph" w:styleId="ListNumber2">
    <w:name w:val="List Number 2"/>
    <w:basedOn w:val="Normal"/>
    <w:uiPriority w:val="99"/>
    <w:unhideWhenUsed/>
    <w:rsid w:val="0029639D"/>
    <w:pPr>
      <w:numPr>
        <w:numId w:val="6"/>
      </w:numPr>
      <w:contextualSpacing/>
    </w:pPr>
    <w:rPr>
      <w:lang w:val="en-GB"/>
    </w:rPr>
  </w:style>
  <w:style w:type="paragraph" w:styleId="ListNumber3">
    <w:name w:val="List Number 3"/>
    <w:basedOn w:val="Normal"/>
    <w:uiPriority w:val="99"/>
    <w:unhideWhenUsed/>
    <w:rsid w:val="0029639D"/>
    <w:pPr>
      <w:numPr>
        <w:numId w:val="7"/>
      </w:numPr>
      <w:contextualSpacing/>
    </w:pPr>
    <w:rPr>
      <w:lang w:val="en-GB"/>
    </w:rPr>
  </w:style>
  <w:style w:type="paragraph" w:styleId="ListContinue">
    <w:name w:val="List Continue"/>
    <w:basedOn w:val="Normal"/>
    <w:uiPriority w:val="99"/>
    <w:unhideWhenUsed/>
    <w:rsid w:val="0029639D"/>
    <w:pPr>
      <w:spacing w:after="120"/>
      <w:ind w:left="360"/>
      <w:contextualSpacing/>
    </w:pPr>
    <w:rPr>
      <w:lang w:val="en-GB"/>
    </w:rPr>
  </w:style>
  <w:style w:type="paragraph" w:styleId="ListContinue2">
    <w:name w:val="List Continue 2"/>
    <w:basedOn w:val="Normal"/>
    <w:uiPriority w:val="99"/>
    <w:unhideWhenUsed/>
    <w:rsid w:val="0029639D"/>
    <w:pPr>
      <w:spacing w:after="120"/>
      <w:ind w:left="720"/>
      <w:contextualSpacing/>
    </w:pPr>
    <w:rPr>
      <w:lang w:val="en-GB"/>
    </w:rPr>
  </w:style>
  <w:style w:type="paragraph" w:styleId="ListContinue3">
    <w:name w:val="List Continue 3"/>
    <w:basedOn w:val="Normal"/>
    <w:uiPriority w:val="99"/>
    <w:unhideWhenUsed/>
    <w:rsid w:val="0029639D"/>
    <w:pPr>
      <w:spacing w:after="120"/>
      <w:ind w:left="1080"/>
      <w:contextualSpacing/>
    </w:pPr>
    <w:rPr>
      <w:lang w:val="en-GB"/>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en-GB"/>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lang w:val="en-GB"/>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en-GB"/>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lang w:val="en-GB"/>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rPr>
      <w:lang w:val="en-GB"/>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label">
    <w:name w:val="Section label"/>
    <w:basedOn w:val="Normal"/>
    <w:pPr>
      <w:keepNext/>
      <w:spacing w:before="0" w:after="60"/>
    </w:pPr>
    <w:rPr>
      <w:rFonts w:ascii="Arial" w:hAnsi="Arial" w:eastAsia="Arial" w:cs="Arial"/>
      <w:b/>
      <w:i w:val="0"/>
      <w:color w:val="00B4A6"/>
      <w:sz w:val="17"/>
      <w:lang w:val="en-GB"/>
    </w:rPr>
  </w:style>
  <w:style w:type="paragraph" w:customStyle="1" w:styleId="Lead">
    <w:name w:val="Lead"/>
    <w:basedOn w:val="Normal"/>
    <w:pPr>
      <w:spacing w:after="200" w:line="300" w:lineRule="auto"/>
    </w:pPr>
    <w:rPr>
      <w:rFonts w:ascii="Georgia" w:hAnsi="Georgia" w:eastAsia="Georgia" w:cs="Georgia"/>
      <w:b w:val="0"/>
      <w:i w:val="0"/>
      <w:color w:val="0A2342"/>
      <w:sz w:val="23"/>
      <w:lang w:val="en-GB"/>
    </w:rPr>
  </w:style>
  <w:style w:type="paragraph" w:customStyle="1" w:styleId="Fineprint">
    <w:name w:val="Fine print"/>
    <w:basedOn w:val="Normal"/>
    <w:pPr>
      <w:spacing w:after="100" w:line="269" w:lineRule="auto"/>
    </w:pPr>
    <w:rPr>
      <w:rFonts w:ascii="Arial" w:hAnsi="Arial" w:eastAsia="Arial" w:cs="Arial"/>
      <w:b w:val="0"/>
      <w:i w:val="0"/>
      <w:color w:val="5F6B7A"/>
      <w:sz w:val="18"/>
      <w:lang w:val="en-GB"/>
    </w:rPr>
  </w:style>
  <w:style w:type="paragraph" w:customStyle="1" w:styleId="Sourcelink">
    <w:name w:val="Source link"/>
    <w:basedOn w:val="Normal"/>
    <w:pPr>
      <w:keepLines/>
      <w:spacing w:after="80"/>
    </w:pPr>
    <w:rPr>
      <w:rFonts w:ascii="Arial" w:hAnsi="Arial" w:eastAsia="Arial" w:cs="Arial"/>
      <w:b w:val="0"/>
      <w:i w:val="0"/>
      <w:color w:val="1E2A36"/>
      <w:sz w:val="19"/>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iso.org/standard/10993-1" TargetMode="External"/><Relationship Id="rId12" Type="http://schemas.openxmlformats.org/officeDocument/2006/relationships/hyperlink" Target="https://www.fda.gov/cosmetics/cosmetic-products/disposable-wipes" TargetMode="External"/><Relationship Id="rId13" Type="http://schemas.openxmlformats.org/officeDocument/2006/relationships/hyperlink" Target="https://www.fda.gov/medical-devices/biocompatibility-assessment-resource-center/basics-biocompatibility-information-needed-assessment-fda" TargetMode="External"/><Relationship Id="rId14" Type="http://schemas.openxmlformats.org/officeDocument/2006/relationships/hyperlink" Target="https://www.fda.gov/regulatory-information/search-fda-guidance-documents/use-international-standard-iso-10993-1-biological-evaluation-medical-devices-part-1-evaluation-and" TargetMode="External"/><Relationship Id="rId15" Type="http://schemas.openxmlformats.org/officeDocument/2006/relationships/hyperlink" Target="https://www.fda.gov/regulatory-information/search-fda-guidance-documents/reprocessing-medical-devices-health-care-settings-validation-methods-and-labeling" TargetMode="External"/><Relationship Id="rId16" Type="http://schemas.openxmlformats.org/officeDocument/2006/relationships/hyperlink" Target="https://www.accessdata.fda.gov/scripts/cdrh/cfdocs/cfStandards/detail.cfm?standard__identification_no=47116" TargetMode="External"/><Relationship Id="rId17" Type="http://schemas.openxmlformats.org/officeDocument/2006/relationships/hyperlink" Target="https://www.meddevadvisory.com/contact#contactForm" TargetMode="External"/><Relationship Id="rId18" Type="http://schemas.openxmlformats.org/officeDocument/2006/relationships/image" Target="media/image1.png"/><Relationship Id="rId1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s://www.meddevadvisor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Wipe Biological Evaluation Plan Template</dc:title>
  <dc:subject>Editable device-specific biological evaluation planning workbook</dc:subject>
  <dc:creator>Arvind Rathore and MedDev Advisory</dc:creator>
  <cp:keywords>medical wipe, biological evaluation plan, BEP, ISO 10993, editable template</cp:keywords>
  <dc:description>Original editable MedDev Advisory planning template. Device-specific completion and qualified review are required.</dc:description>
  <cp:lastModifiedBy>MedDev Advisory</cp:lastModifiedBy>
  <cp:revision>1</cp:revision>
  <dcterms:created xsi:type="dcterms:W3CDTF">2026-09-09T00:00:00Z</dcterms:created>
  <dcterms:modified xsi:type="dcterms:W3CDTF">2026-09-09T00:00:00Z</dcterms:modified>
  <cp:category>Professional regulatory resource</cp:category>
  <cp:version>1.0</cp:version>
</cp:coreProperties>
</file>